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2C892C">
      <w:pPr>
        <w:spacing w:line="440" w:lineRule="atLeast"/>
        <w:jc w:val="center"/>
        <w:rPr>
          <w:rFonts w:ascii="宋体" w:hAnsi="宋体"/>
          <w:b/>
          <w:bCs/>
          <w:color w:val="000000" w:themeColor="text1"/>
          <w:spacing w:val="60"/>
          <w:sz w:val="52"/>
          <w:szCs w:val="52"/>
          <w14:textFill>
            <w14:solidFill>
              <w14:schemeClr w14:val="tx1"/>
            </w14:solidFill>
          </w14:textFill>
        </w:rPr>
      </w:pPr>
      <w:bookmarkStart w:id="0" w:name="车棚"/>
      <w:bookmarkEnd w:id="0"/>
      <w:r>
        <w:rPr>
          <w:rFonts w:hint="eastAsia" w:ascii="宋体" w:hAnsi="宋体"/>
          <w:b/>
          <w:bCs/>
          <w:color w:val="000000" w:themeColor="text1"/>
          <w:spacing w:val="60"/>
          <w:sz w:val="52"/>
          <w:szCs w:val="52"/>
          <w14:textFill>
            <w14:solidFill>
              <w14:schemeClr w14:val="tx1"/>
            </w14:solidFill>
          </w14:textFill>
        </w:rPr>
        <w:t>宁波阳明拍卖有限公司</w:t>
      </w:r>
    </w:p>
    <w:p w14:paraId="1ABB73D7">
      <w:pPr>
        <w:spacing w:line="440" w:lineRule="atLeast"/>
        <w:jc w:val="center"/>
        <w:rPr>
          <w:rFonts w:ascii="宋体" w:hAnsi="宋体"/>
          <w:b/>
          <w:color w:val="000000" w:themeColor="text1"/>
          <w:sz w:val="52"/>
          <w:szCs w:val="52"/>
          <w14:textFill>
            <w14:solidFill>
              <w14:schemeClr w14:val="tx1"/>
            </w14:solidFill>
          </w14:textFill>
        </w:rPr>
      </w:pPr>
    </w:p>
    <w:p w14:paraId="6EC41374">
      <w:pPr>
        <w:spacing w:before="156" w:beforeLines="50" w:after="156" w:afterLines="50" w:line="440" w:lineRule="atLeast"/>
        <w:jc w:val="center"/>
        <w:rPr>
          <w:rFonts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拍</w:t>
      </w:r>
    </w:p>
    <w:p w14:paraId="2DF75244">
      <w:pPr>
        <w:spacing w:before="156" w:beforeLines="50" w:after="156" w:afterLines="50" w:line="440" w:lineRule="atLeast"/>
        <w:jc w:val="center"/>
        <w:rPr>
          <w:rFonts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卖</w:t>
      </w:r>
    </w:p>
    <w:p w14:paraId="6FB13C1A">
      <w:pPr>
        <w:spacing w:before="156" w:beforeLines="50" w:after="156" w:afterLines="50" w:line="440" w:lineRule="atLeast"/>
        <w:jc w:val="center"/>
        <w:rPr>
          <w:rFonts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须</w:t>
      </w:r>
    </w:p>
    <w:p w14:paraId="0ED0B999">
      <w:pPr>
        <w:spacing w:before="156" w:beforeLines="50" w:after="156" w:afterLines="50" w:line="440" w:lineRule="atLeast"/>
        <w:jc w:val="center"/>
        <w:rPr>
          <w:rFonts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知</w:t>
      </w:r>
    </w:p>
    <w:p w14:paraId="76B429D9">
      <w:pPr>
        <w:spacing w:line="440" w:lineRule="atLeast"/>
        <w:jc w:val="center"/>
        <w:rPr>
          <w:rFonts w:ascii="宋体" w:hAnsi="宋体"/>
          <w:b/>
          <w:bCs/>
          <w:color w:val="000000" w:themeColor="text1"/>
          <w:sz w:val="52"/>
          <w:szCs w:val="52"/>
          <w14:textFill>
            <w14:solidFill>
              <w14:schemeClr w14:val="tx1"/>
            </w14:solidFill>
          </w14:textFill>
        </w:rPr>
      </w:pPr>
    </w:p>
    <w:p w14:paraId="0D3C92E2">
      <w:pPr>
        <w:keepNext w:val="0"/>
        <w:keepLines w:val="0"/>
        <w:pageBreakBefore w:val="0"/>
        <w:widowControl w:val="0"/>
        <w:kinsoku/>
        <w:wordWrap/>
        <w:overflowPunct/>
        <w:topLinePunct w:val="0"/>
        <w:autoSpaceDE/>
        <w:autoSpaceDN/>
        <w:bidi w:val="0"/>
        <w:adjustRightInd/>
        <w:snapToGrid/>
        <w:spacing w:line="540" w:lineRule="exact"/>
        <w:ind w:firstLine="241" w:firstLineChars="100"/>
        <w:jc w:val="both"/>
        <w:textAlignment w:val="auto"/>
        <w:rPr>
          <w:rFonts w:hint="eastAsia" w:ascii="宋体" w:hAnsi="宋体" w:cs="Times New Roman"/>
          <w:color w:val="000000" w:themeColor="text1"/>
          <w:sz w:val="24"/>
          <w:lang w:val="en-US" w:eastAsia="zh-CN"/>
          <w14:textFill>
            <w14:solidFill>
              <w14:schemeClr w14:val="tx1"/>
            </w14:solidFill>
          </w14:textFill>
        </w:rPr>
      </w:pPr>
      <w:r>
        <w:rPr>
          <w:rFonts w:hint="eastAsia" w:ascii="宋体" w:hAnsi="宋体" w:cs="Times New Roman"/>
          <w:b/>
          <w:bCs/>
          <w:color w:val="000000" w:themeColor="text1"/>
          <w:sz w:val="24"/>
          <w:lang w:eastAsia="zh-CN"/>
          <w14:textFill>
            <w14:solidFill>
              <w14:schemeClr w14:val="tx1"/>
            </w14:solidFill>
          </w14:textFill>
        </w:rPr>
        <w:t>拍卖会名称：</w:t>
      </w:r>
      <w:r>
        <w:rPr>
          <w:rFonts w:hint="eastAsia" w:ascii="宋体" w:hAnsi="宋体" w:cs="Times New Roman"/>
          <w:color w:val="000000" w:themeColor="text1"/>
          <w:sz w:val="24"/>
          <w:lang w:val="en-US" w:eastAsia="zh-CN"/>
          <w14:textFill>
            <w14:solidFill>
              <w14:schemeClr w14:val="tx1"/>
            </w14:solidFill>
          </w14:textFill>
        </w:rPr>
        <w:t>城区安馨华苑、北辰雅苑以及三凤雅苑部分房屋租赁权网络拍卖会</w:t>
      </w:r>
    </w:p>
    <w:p w14:paraId="73A5CA6F">
      <w:pPr>
        <w:keepNext w:val="0"/>
        <w:keepLines w:val="0"/>
        <w:pageBreakBefore w:val="0"/>
        <w:widowControl w:val="0"/>
        <w:kinsoku/>
        <w:wordWrap/>
        <w:overflowPunct/>
        <w:topLinePunct w:val="0"/>
        <w:autoSpaceDE/>
        <w:autoSpaceDN/>
        <w:bidi w:val="0"/>
        <w:adjustRightInd/>
        <w:snapToGrid/>
        <w:spacing w:line="540" w:lineRule="exact"/>
        <w:ind w:firstLine="241" w:firstLineChars="100"/>
        <w:jc w:val="both"/>
        <w:textAlignment w:val="auto"/>
        <w:rPr>
          <w:rFonts w:hint="eastAsia" w:ascii="宋体" w:hAnsi="宋体" w:cs="Times New Roman"/>
          <w:color w:val="000000" w:themeColor="text1"/>
          <w:sz w:val="24"/>
          <w:lang w:val="en-US" w:eastAsia="zh-CN"/>
          <w14:textFill>
            <w14:solidFill>
              <w14:schemeClr w14:val="tx1"/>
            </w14:solidFill>
          </w14:textFill>
        </w:rPr>
      </w:pPr>
      <w:r>
        <w:rPr>
          <w:rFonts w:hint="eastAsia" w:ascii="宋体" w:hAnsi="宋体" w:cs="Times New Roman"/>
          <w:b/>
          <w:bCs/>
          <w:color w:val="000000" w:themeColor="text1"/>
          <w:sz w:val="24"/>
          <w:lang w:val="en-US" w:eastAsia="zh-CN"/>
          <w14:textFill>
            <w14:solidFill>
              <w14:schemeClr w14:val="tx1"/>
            </w14:solidFill>
          </w14:textFill>
        </w:rPr>
        <w:t>拍卖标的：</w:t>
      </w:r>
      <w:r>
        <w:rPr>
          <w:rFonts w:hint="eastAsia" w:ascii="宋体" w:hAnsi="宋体" w:cs="Times New Roman"/>
          <w:color w:val="000000" w:themeColor="text1"/>
          <w:sz w:val="24"/>
          <w:lang w:val="en-US" w:eastAsia="zh-CN"/>
          <w14:textFill>
            <w14:solidFill>
              <w14:schemeClr w14:val="tx1"/>
            </w14:solidFill>
          </w14:textFill>
        </w:rPr>
        <w:t>城区安馨华苑、北辰雅苑以及三凤雅苑部分房屋租赁权</w:t>
      </w:r>
    </w:p>
    <w:p w14:paraId="56EDA9D2">
      <w:pPr>
        <w:keepNext w:val="0"/>
        <w:keepLines w:val="0"/>
        <w:pageBreakBefore w:val="0"/>
        <w:widowControl w:val="0"/>
        <w:kinsoku/>
        <w:wordWrap/>
        <w:overflowPunct/>
        <w:topLinePunct w:val="0"/>
        <w:autoSpaceDE/>
        <w:autoSpaceDN/>
        <w:bidi w:val="0"/>
        <w:adjustRightInd/>
        <w:snapToGrid/>
        <w:spacing w:line="540" w:lineRule="exact"/>
        <w:ind w:firstLine="241" w:firstLineChars="100"/>
        <w:jc w:val="both"/>
        <w:textAlignment w:val="auto"/>
        <w:rPr>
          <w:rFonts w:hint="eastAsia" w:ascii="宋体" w:hAnsi="宋体" w:cs="Times New Roman"/>
          <w:color w:val="000000" w:themeColor="text1"/>
          <w:sz w:val="24"/>
          <w:lang w:val="en-US" w:eastAsia="zh-CN"/>
          <w14:textFill>
            <w14:solidFill>
              <w14:schemeClr w14:val="tx1"/>
            </w14:solidFill>
          </w14:textFill>
        </w:rPr>
      </w:pPr>
      <w:r>
        <w:rPr>
          <w:rFonts w:hint="eastAsia" w:ascii="宋体" w:hAnsi="宋体" w:cs="Times New Roman"/>
          <w:b/>
          <w:bCs/>
          <w:color w:val="000000" w:themeColor="text1"/>
          <w:sz w:val="24"/>
          <w:lang w:eastAsia="zh-CN"/>
          <w14:textFill>
            <w14:solidFill>
              <w14:schemeClr w14:val="tx1"/>
            </w14:solidFill>
          </w14:textFill>
        </w:rPr>
        <w:t>拍卖时间：</w:t>
      </w:r>
      <w:r>
        <w:rPr>
          <w:rFonts w:hint="eastAsia" w:ascii="宋体" w:hAnsi="宋体" w:cs="Times New Roman"/>
          <w:color w:val="000000" w:themeColor="text1"/>
          <w:sz w:val="24"/>
          <w:lang w:val="en-US" w:eastAsia="zh-CN"/>
          <w14:textFill>
            <w14:solidFill>
              <w14:schemeClr w14:val="tx1"/>
            </w14:solidFill>
          </w14:textFill>
        </w:rPr>
        <w:t>2026年2月10日上午9:30—10:00（延时除外）</w:t>
      </w:r>
    </w:p>
    <w:p w14:paraId="774BE1AC">
      <w:pPr>
        <w:keepNext w:val="0"/>
        <w:keepLines w:val="0"/>
        <w:pageBreakBefore w:val="0"/>
        <w:widowControl w:val="0"/>
        <w:kinsoku/>
        <w:wordWrap/>
        <w:overflowPunct/>
        <w:topLinePunct w:val="0"/>
        <w:autoSpaceDE/>
        <w:autoSpaceDN/>
        <w:bidi w:val="0"/>
        <w:adjustRightInd/>
        <w:snapToGrid/>
        <w:spacing w:line="540" w:lineRule="exact"/>
        <w:ind w:firstLine="241" w:firstLineChars="100"/>
        <w:jc w:val="both"/>
        <w:textAlignment w:val="auto"/>
        <w:rPr>
          <w:rFonts w:hint="eastAsia" w:ascii="宋体" w:hAnsi="宋体" w:cs="Times New Roman"/>
          <w:color w:val="000000" w:themeColor="text1"/>
          <w:sz w:val="24"/>
          <w:lang w:val="en-US" w:eastAsia="zh-CN"/>
          <w14:textFill>
            <w14:solidFill>
              <w14:schemeClr w14:val="tx1"/>
            </w14:solidFill>
          </w14:textFill>
        </w:rPr>
      </w:pPr>
      <w:r>
        <w:rPr>
          <w:rFonts w:hint="eastAsia" w:ascii="宋体" w:hAnsi="宋体" w:cs="Times New Roman"/>
          <w:b/>
          <w:bCs/>
          <w:color w:val="000000" w:themeColor="text1"/>
          <w:sz w:val="24"/>
          <w:lang w:eastAsia="zh-CN"/>
          <w14:textFill>
            <w14:solidFill>
              <w14:schemeClr w14:val="tx1"/>
            </w14:solidFill>
          </w14:textFill>
        </w:rPr>
        <w:t>拍卖方式：</w:t>
      </w:r>
      <w:r>
        <w:rPr>
          <w:rFonts w:hint="eastAsia" w:ascii="宋体" w:hAnsi="宋体" w:cs="Times New Roman"/>
          <w:color w:val="000000" w:themeColor="text1"/>
          <w:sz w:val="24"/>
          <w:lang w:val="en-US" w:eastAsia="zh-CN"/>
          <w14:textFill>
            <w14:solidFill>
              <w14:schemeClr w14:val="tx1"/>
            </w14:solidFill>
          </w14:textFill>
        </w:rPr>
        <w:t>网络拍卖</w:t>
      </w:r>
    </w:p>
    <w:p w14:paraId="0F21D6A9">
      <w:pPr>
        <w:keepNext w:val="0"/>
        <w:keepLines w:val="0"/>
        <w:pageBreakBefore w:val="0"/>
        <w:widowControl w:val="0"/>
        <w:kinsoku/>
        <w:wordWrap/>
        <w:overflowPunct/>
        <w:topLinePunct w:val="0"/>
        <w:autoSpaceDE/>
        <w:autoSpaceDN/>
        <w:bidi w:val="0"/>
        <w:adjustRightInd/>
        <w:snapToGrid/>
        <w:spacing w:after="93" w:afterLines="30" w:line="540" w:lineRule="exact"/>
        <w:ind w:firstLine="283" w:firstLineChars="118"/>
        <w:textAlignment w:val="auto"/>
        <w:rPr>
          <w:rFonts w:hint="eastAsia" w:ascii="宋体" w:hAnsi="宋体" w:eastAsia="宋体" w:cs="宋体"/>
          <w:b w:val="0"/>
          <w:bCs/>
          <w:color w:val="auto"/>
          <w:kern w:val="0"/>
          <w:sz w:val="24"/>
          <w:szCs w:val="24"/>
          <w:highlight w:val="none"/>
          <w:lang w:val="en-US" w:eastAsia="zh-CN"/>
        </w:rPr>
      </w:pPr>
    </w:p>
    <w:p w14:paraId="22EAE8CE">
      <w:pPr>
        <w:keepNext w:val="0"/>
        <w:keepLines w:val="0"/>
        <w:pageBreakBefore w:val="0"/>
        <w:widowControl w:val="0"/>
        <w:kinsoku/>
        <w:wordWrap/>
        <w:overflowPunct/>
        <w:topLinePunct w:val="0"/>
        <w:autoSpaceDE/>
        <w:autoSpaceDN/>
        <w:bidi w:val="0"/>
        <w:adjustRightInd/>
        <w:snapToGrid/>
        <w:spacing w:after="93" w:afterLines="30" w:line="540" w:lineRule="exact"/>
        <w:textAlignment w:val="auto"/>
        <w:rPr>
          <w:rFonts w:ascii="宋体" w:hAnsi="宋体"/>
          <w:color w:val="000000" w:themeColor="text1"/>
          <w:sz w:val="24"/>
          <w14:textFill>
            <w14:solidFill>
              <w14:schemeClr w14:val="tx1"/>
            </w14:solidFill>
          </w14:textFill>
        </w:rPr>
      </w:pPr>
    </w:p>
    <w:p w14:paraId="63D5ED5A">
      <w:pPr>
        <w:keepNext w:val="0"/>
        <w:keepLines w:val="0"/>
        <w:pageBreakBefore w:val="0"/>
        <w:widowControl w:val="0"/>
        <w:kinsoku/>
        <w:wordWrap/>
        <w:overflowPunct/>
        <w:topLinePunct w:val="0"/>
        <w:autoSpaceDE/>
        <w:autoSpaceDN/>
        <w:bidi w:val="0"/>
        <w:adjustRightInd/>
        <w:snapToGrid/>
        <w:spacing w:after="93" w:afterLines="30" w:line="540" w:lineRule="exact"/>
        <w:ind w:firstLine="283" w:firstLineChars="118"/>
        <w:textAlignment w:val="auto"/>
        <w:rPr>
          <w:rFonts w:ascii="宋体" w:hAnsi="宋体"/>
          <w:color w:val="000000" w:themeColor="text1"/>
          <w:sz w:val="24"/>
          <w14:textFill>
            <w14:solidFill>
              <w14:schemeClr w14:val="tx1"/>
            </w14:solidFill>
          </w14:textFill>
        </w:rPr>
      </w:pPr>
    </w:p>
    <w:p w14:paraId="25DBD742">
      <w:pPr>
        <w:keepNext w:val="0"/>
        <w:keepLines w:val="0"/>
        <w:pageBreakBefore w:val="0"/>
        <w:widowControl w:val="0"/>
        <w:kinsoku/>
        <w:wordWrap/>
        <w:overflowPunct/>
        <w:topLinePunct w:val="0"/>
        <w:autoSpaceDE/>
        <w:autoSpaceDN/>
        <w:bidi w:val="0"/>
        <w:adjustRightInd/>
        <w:snapToGrid/>
        <w:spacing w:after="93" w:afterLines="30" w:line="540" w:lineRule="exact"/>
        <w:ind w:firstLine="283" w:firstLineChars="118"/>
        <w:textAlignment w:val="auto"/>
        <w:rPr>
          <w:rFonts w:hint="eastAsia" w:ascii="宋体" w:hAnsi="宋体"/>
          <w:color w:val="000000" w:themeColor="text1"/>
          <w:sz w:val="24"/>
          <w14:textFill>
            <w14:solidFill>
              <w14:schemeClr w14:val="tx1"/>
            </w14:solidFill>
          </w14:textFill>
        </w:rPr>
      </w:pPr>
    </w:p>
    <w:p w14:paraId="07550683">
      <w:pPr>
        <w:keepNext w:val="0"/>
        <w:keepLines w:val="0"/>
        <w:pageBreakBefore w:val="0"/>
        <w:widowControl w:val="0"/>
        <w:kinsoku/>
        <w:wordWrap/>
        <w:overflowPunct/>
        <w:topLinePunct w:val="0"/>
        <w:autoSpaceDE/>
        <w:autoSpaceDN/>
        <w:bidi w:val="0"/>
        <w:adjustRightInd/>
        <w:snapToGrid/>
        <w:spacing w:line="540" w:lineRule="exact"/>
        <w:ind w:firstLine="240" w:firstLineChars="100"/>
        <w:jc w:val="both"/>
        <w:textAlignment w:val="auto"/>
        <w:rPr>
          <w:rFonts w:hint="eastAsia" w:ascii="宋体" w:hAnsi="宋体" w:cs="Times New Roman"/>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公司地址：</w:t>
      </w:r>
      <w:r>
        <w:rPr>
          <w:rFonts w:hint="eastAsia" w:ascii="宋体" w:hAnsi="宋体" w:cs="Times New Roman"/>
          <w:color w:val="000000" w:themeColor="text1"/>
          <w:sz w:val="24"/>
          <w:lang w:eastAsia="zh-CN"/>
          <w14:textFill>
            <w14:solidFill>
              <w14:schemeClr w14:val="tx1"/>
            </w14:solidFill>
          </w14:textFill>
        </w:rPr>
        <w:t>余姚市谭家岭东路2号南雷大厦29楼</w:t>
      </w:r>
    </w:p>
    <w:p w14:paraId="287D34B0">
      <w:pPr>
        <w:keepNext w:val="0"/>
        <w:keepLines w:val="0"/>
        <w:pageBreakBefore w:val="0"/>
        <w:widowControl w:val="0"/>
        <w:kinsoku/>
        <w:wordWrap/>
        <w:overflowPunct/>
        <w:topLinePunct w:val="0"/>
        <w:autoSpaceDE/>
        <w:autoSpaceDN/>
        <w:bidi w:val="0"/>
        <w:adjustRightInd/>
        <w:snapToGrid/>
        <w:spacing w:after="93" w:afterLines="30" w:line="540" w:lineRule="exact"/>
        <w:ind w:firstLine="283" w:firstLineChars="118"/>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公司电话：0574-</w:t>
      </w:r>
      <w:r>
        <w:rPr>
          <w:rFonts w:hint="eastAsia" w:ascii="宋体" w:hAnsi="宋体"/>
          <w:color w:val="000000" w:themeColor="text1"/>
          <w:sz w:val="24"/>
          <w:lang w:eastAsia="zh-CN"/>
          <w14:textFill>
            <w14:solidFill>
              <w14:schemeClr w14:val="tx1"/>
            </w14:solidFill>
          </w14:textFill>
        </w:rPr>
        <w:t>6265</w:t>
      </w:r>
      <w:r>
        <w:rPr>
          <w:rFonts w:hint="eastAsia" w:ascii="宋体" w:hAnsi="宋体"/>
          <w:color w:val="000000" w:themeColor="text1"/>
          <w:sz w:val="24"/>
          <w:lang w:val="en-US" w:eastAsia="zh-CN"/>
          <w14:textFill>
            <w14:solidFill>
              <w14:schemeClr w14:val="tx1"/>
            </w14:solidFill>
          </w14:textFill>
        </w:rPr>
        <w:t>1915</w:t>
      </w:r>
      <w:r>
        <w:rPr>
          <w:rFonts w:hint="eastAsia" w:ascii="宋体" w:hAnsi="宋体"/>
          <w:color w:val="000000" w:themeColor="text1"/>
          <w:sz w:val="24"/>
          <w14:textFill>
            <w14:solidFill>
              <w14:schemeClr w14:val="tx1"/>
            </w14:solidFill>
          </w14:textFill>
        </w:rPr>
        <w:t>、62724638       传真：0574-62651961</w:t>
      </w:r>
    </w:p>
    <w:p w14:paraId="605A2BF2">
      <w:pPr>
        <w:spacing w:after="93" w:afterLines="30" w:line="500" w:lineRule="exact"/>
        <w:rPr>
          <w:rFonts w:hint="eastAsia" w:ascii="宋体" w:hAnsi="宋体"/>
          <w:color w:val="000000" w:themeColor="text1"/>
          <w:sz w:val="24"/>
          <w14:textFill>
            <w14:solidFill>
              <w14:schemeClr w14:val="tx1"/>
            </w14:solidFill>
          </w14:textFill>
        </w:rPr>
      </w:pPr>
    </w:p>
    <w:p w14:paraId="6AA1E6E2">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拍  卖  须  知</w:t>
      </w:r>
    </w:p>
    <w:p w14:paraId="0BAF7330">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jc w:val="center"/>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总 则</w:t>
      </w:r>
    </w:p>
    <w:p w14:paraId="2DE0BA9D">
      <w:pPr>
        <w:keepNext w:val="0"/>
        <w:keepLines w:val="0"/>
        <w:pageBreakBefore w:val="0"/>
        <w:widowControl w:val="0"/>
        <w:kinsoku/>
        <w:wordWrap/>
        <w:overflowPunct/>
        <w:topLinePunct w:val="0"/>
        <w:autoSpaceDE/>
        <w:autoSpaceDN/>
        <w:bidi w:val="0"/>
        <w:adjustRightInd/>
        <w:snapToGrid/>
        <w:spacing w:line="500" w:lineRule="exact"/>
        <w:ind w:firstLine="470" w:firstLineChars="195"/>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第一条</w:t>
      </w:r>
      <w:r>
        <w:rPr>
          <w:rFonts w:hint="eastAsia" w:ascii="宋体" w:hAnsi="宋体"/>
          <w:color w:val="000000" w:themeColor="text1"/>
          <w:sz w:val="24"/>
          <w14:textFill>
            <w14:solidFill>
              <w14:schemeClr w14:val="tx1"/>
            </w14:solidFill>
          </w14:textFill>
        </w:rPr>
        <w:t xml:space="preserve">  本《拍卖须知》根据《中华人民共和国拍卖法》及相关法律、法规、规章，参照国际通行惯例制定。</w:t>
      </w:r>
    </w:p>
    <w:p w14:paraId="0D3CF00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第二条</w:t>
      </w:r>
      <w:r>
        <w:rPr>
          <w:rFonts w:hint="eastAsia" w:ascii="宋体" w:hAnsi="宋体"/>
          <w:color w:val="000000" w:themeColor="text1"/>
          <w:sz w:val="24"/>
          <w14:textFill>
            <w14:solidFill>
              <w14:schemeClr w14:val="tx1"/>
            </w14:solidFill>
          </w14:textFill>
        </w:rPr>
        <w:t xml:space="preserve">  宁波阳明拍卖有限公司（以下简称“拍卖人”）将依法组织和开展拍卖活动，参加拍卖活动的竞买人必须仔细阅读并遵守本《拍卖须知》及其它相关文件，并对自己执行本《拍卖须知》的行为负责。</w:t>
      </w:r>
    </w:p>
    <w:p w14:paraId="4241E4A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第三条  </w:t>
      </w:r>
      <w:r>
        <w:rPr>
          <w:rFonts w:hint="eastAsia" w:ascii="宋体" w:hAnsi="宋体"/>
          <w:color w:val="000000" w:themeColor="text1"/>
          <w:sz w:val="24"/>
          <w14:textFill>
            <w14:solidFill>
              <w14:schemeClr w14:val="tx1"/>
            </w14:solidFill>
          </w14:textFill>
        </w:rPr>
        <w:t>拍卖人有权在本《拍卖须知》的基础上，根据公开、公平、公正、诚实信用的原则解释和处理本《拍卖须知》以外的特殊问题和未尽事宜。</w:t>
      </w:r>
    </w:p>
    <w:p w14:paraId="6FE85713">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center"/>
        <w:textAlignment w:val="auto"/>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拍卖标的</w:t>
      </w:r>
    </w:p>
    <w:p w14:paraId="4F0BD2C0">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60" w:lineRule="exact"/>
        <w:ind w:firstLine="482" w:firstLineChars="200"/>
        <w:jc w:val="left"/>
        <w:textAlignment w:val="auto"/>
        <w:rPr>
          <w:rFonts w:hint="eastAsia"/>
          <w:b/>
          <w:bCs/>
          <w:sz w:val="52"/>
          <w:szCs w:val="52"/>
          <w:lang w:eastAsia="zh-CN"/>
        </w:rPr>
      </w:pPr>
      <w:r>
        <w:rPr>
          <w:rFonts w:hint="eastAsia" w:ascii="宋体" w:hAnsi="宋体"/>
          <w:b/>
          <w:color w:val="000000" w:themeColor="text1"/>
          <w:sz w:val="24"/>
          <w14:textFill>
            <w14:solidFill>
              <w14:schemeClr w14:val="tx1"/>
            </w14:solidFill>
          </w14:textFill>
        </w:rPr>
        <w:t>第</w:t>
      </w:r>
      <w:r>
        <w:rPr>
          <w:rFonts w:hint="eastAsia" w:ascii="宋体" w:hAnsi="宋体"/>
          <w:b/>
          <w:color w:val="000000" w:themeColor="text1"/>
          <w:sz w:val="24"/>
          <w:lang w:eastAsia="zh-CN"/>
          <w14:textFill>
            <w14:solidFill>
              <w14:schemeClr w14:val="tx1"/>
            </w14:solidFill>
          </w14:textFill>
        </w:rPr>
        <w:t>四</w:t>
      </w:r>
      <w:r>
        <w:rPr>
          <w:rFonts w:hint="eastAsia" w:ascii="宋体" w:hAnsi="宋体"/>
          <w:b/>
          <w:color w:val="000000" w:themeColor="text1"/>
          <w:sz w:val="24"/>
          <w14:textFill>
            <w14:solidFill>
              <w14:schemeClr w14:val="tx1"/>
            </w14:solidFill>
          </w14:textFill>
        </w:rPr>
        <w:t>条</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cs="宋体"/>
          <w:b/>
          <w:bCs w:val="0"/>
          <w:color w:val="auto"/>
          <w:kern w:val="0"/>
          <w:sz w:val="24"/>
          <w:highlight w:val="none"/>
          <w:lang w:val="en-US" w:eastAsia="zh-CN"/>
        </w:rPr>
        <w:t>拍卖标的</w:t>
      </w:r>
    </w:p>
    <w:tbl>
      <w:tblPr>
        <w:tblStyle w:val="9"/>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2019"/>
        <w:gridCol w:w="1170"/>
        <w:gridCol w:w="1995"/>
        <w:gridCol w:w="1335"/>
        <w:gridCol w:w="2415"/>
      </w:tblGrid>
      <w:tr w14:paraId="7B7B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82" w:type="dxa"/>
            <w:vAlign w:val="center"/>
          </w:tcPr>
          <w:p w14:paraId="5974334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宋体" w:hAnsi="宋体" w:cs="宋体"/>
                <w:b/>
                <w:bCs w:val="0"/>
                <w:color w:val="auto"/>
                <w:kern w:val="0"/>
                <w:sz w:val="18"/>
                <w:szCs w:val="18"/>
                <w:highlight w:val="none"/>
                <w:vertAlign w:val="baseline"/>
                <w:lang w:val="en-US" w:eastAsia="zh-CN"/>
              </w:rPr>
            </w:pPr>
            <w:r>
              <w:rPr>
                <w:rFonts w:hint="eastAsia" w:ascii="宋体" w:hAnsi="宋体" w:cs="宋体"/>
                <w:b/>
                <w:bCs w:val="0"/>
                <w:color w:val="auto"/>
                <w:kern w:val="0"/>
                <w:sz w:val="18"/>
                <w:szCs w:val="18"/>
                <w:highlight w:val="none"/>
                <w:vertAlign w:val="baseline"/>
                <w:lang w:val="en-US" w:eastAsia="zh-CN"/>
              </w:rPr>
              <w:t>标的</w:t>
            </w:r>
          </w:p>
        </w:tc>
        <w:tc>
          <w:tcPr>
            <w:tcW w:w="2019" w:type="dxa"/>
            <w:vAlign w:val="center"/>
          </w:tcPr>
          <w:p w14:paraId="5C37728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cs="宋体"/>
                <w:b/>
                <w:bCs w:val="0"/>
                <w:color w:val="auto"/>
                <w:kern w:val="0"/>
                <w:sz w:val="18"/>
                <w:szCs w:val="18"/>
                <w:highlight w:val="none"/>
                <w:vertAlign w:val="baseline"/>
                <w:lang w:val="en-US" w:eastAsia="zh-CN"/>
              </w:rPr>
            </w:pPr>
            <w:r>
              <w:rPr>
                <w:rFonts w:hint="eastAsia" w:ascii="宋体" w:hAnsi="宋体" w:cs="宋体"/>
                <w:b/>
                <w:bCs w:val="0"/>
                <w:color w:val="auto"/>
                <w:kern w:val="0"/>
                <w:sz w:val="18"/>
                <w:szCs w:val="18"/>
                <w:highlight w:val="none"/>
                <w:vertAlign w:val="baseline"/>
                <w:lang w:val="en-US" w:eastAsia="zh-CN"/>
              </w:rPr>
              <w:t>标的名称</w:t>
            </w:r>
          </w:p>
        </w:tc>
        <w:tc>
          <w:tcPr>
            <w:tcW w:w="1170" w:type="dxa"/>
            <w:shd w:val="clear" w:color="auto" w:fill="auto"/>
            <w:vAlign w:val="center"/>
          </w:tcPr>
          <w:p w14:paraId="43BC5B9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cs="宋体"/>
                <w:b/>
                <w:bCs w:val="0"/>
                <w:color w:val="auto"/>
                <w:kern w:val="0"/>
                <w:sz w:val="18"/>
                <w:szCs w:val="18"/>
                <w:highlight w:val="none"/>
                <w:vertAlign w:val="baseline"/>
                <w:lang w:val="en-US" w:eastAsia="zh-CN" w:bidi="ar-SA"/>
              </w:rPr>
            </w:pPr>
            <w:r>
              <w:rPr>
                <w:rFonts w:hint="eastAsia" w:ascii="宋体" w:hAnsi="宋体" w:cs="宋体"/>
                <w:b/>
                <w:bCs w:val="0"/>
                <w:color w:val="auto"/>
                <w:kern w:val="0"/>
                <w:sz w:val="18"/>
                <w:szCs w:val="18"/>
                <w:highlight w:val="none"/>
                <w:vertAlign w:val="baseline"/>
                <w:lang w:val="en-US" w:eastAsia="zh-CN" w:bidi="ar-SA"/>
              </w:rPr>
              <w:t>出租面积</w:t>
            </w:r>
          </w:p>
          <w:p w14:paraId="5641BC6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eastAsia="宋体" w:cs="宋体"/>
                <w:b/>
                <w:bCs w:val="0"/>
                <w:color w:val="auto"/>
                <w:kern w:val="0"/>
                <w:sz w:val="18"/>
                <w:szCs w:val="18"/>
                <w:highlight w:val="none"/>
                <w:vertAlign w:val="baseline"/>
                <w:lang w:val="en-US" w:eastAsia="zh-CN" w:bidi="ar-SA"/>
              </w:rPr>
            </w:pPr>
            <w:r>
              <w:rPr>
                <w:rFonts w:hint="eastAsia" w:ascii="宋体" w:hAnsi="宋体" w:cs="宋体"/>
                <w:b/>
                <w:bCs w:val="0"/>
                <w:color w:val="auto"/>
                <w:kern w:val="0"/>
                <w:sz w:val="18"/>
                <w:szCs w:val="18"/>
                <w:highlight w:val="none"/>
                <w:vertAlign w:val="baseline"/>
                <w:lang w:val="en-US" w:eastAsia="zh-CN" w:bidi="ar-SA"/>
              </w:rPr>
              <w:t>（平方米）</w:t>
            </w:r>
          </w:p>
        </w:tc>
        <w:tc>
          <w:tcPr>
            <w:tcW w:w="1995" w:type="dxa"/>
            <w:shd w:val="clear" w:color="auto" w:fill="auto"/>
            <w:vAlign w:val="center"/>
          </w:tcPr>
          <w:p w14:paraId="605E1B8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cs="宋体"/>
                <w:b/>
                <w:bCs w:val="0"/>
                <w:color w:val="auto"/>
                <w:kern w:val="0"/>
                <w:sz w:val="18"/>
                <w:szCs w:val="18"/>
                <w:highlight w:val="none"/>
                <w:vertAlign w:val="baseline"/>
                <w:lang w:val="en-US" w:eastAsia="zh-CN"/>
              </w:rPr>
            </w:pPr>
            <w:r>
              <w:rPr>
                <w:rFonts w:hint="eastAsia" w:ascii="宋体" w:hAnsi="宋体" w:cs="宋体"/>
                <w:b/>
                <w:bCs w:val="0"/>
                <w:color w:val="auto"/>
                <w:kern w:val="0"/>
                <w:sz w:val="18"/>
                <w:szCs w:val="18"/>
                <w:highlight w:val="none"/>
                <w:vertAlign w:val="baseline"/>
                <w:lang w:val="en-US" w:eastAsia="zh-CN"/>
              </w:rPr>
              <w:t>出租年限</w:t>
            </w:r>
          </w:p>
        </w:tc>
        <w:tc>
          <w:tcPr>
            <w:tcW w:w="1335" w:type="dxa"/>
            <w:shd w:val="clear" w:color="auto" w:fill="auto"/>
            <w:vAlign w:val="center"/>
          </w:tcPr>
          <w:p w14:paraId="7951217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eastAsia="宋体" w:cs="宋体"/>
                <w:b/>
                <w:bCs w:val="0"/>
                <w:color w:val="auto"/>
                <w:kern w:val="0"/>
                <w:sz w:val="18"/>
                <w:szCs w:val="18"/>
                <w:highlight w:val="none"/>
                <w:vertAlign w:val="baseline"/>
                <w:lang w:val="en-US" w:eastAsia="zh-CN" w:bidi="ar-SA"/>
              </w:rPr>
            </w:pPr>
            <w:r>
              <w:rPr>
                <w:rFonts w:hint="eastAsia" w:ascii="宋体" w:hAnsi="宋体" w:cs="宋体"/>
                <w:b/>
                <w:bCs w:val="0"/>
                <w:color w:val="auto"/>
                <w:kern w:val="0"/>
                <w:sz w:val="18"/>
                <w:szCs w:val="18"/>
                <w:highlight w:val="none"/>
                <w:vertAlign w:val="baseline"/>
                <w:lang w:val="en-US" w:eastAsia="zh-CN"/>
              </w:rPr>
              <w:t>第1年租金起拍价（万元）</w:t>
            </w:r>
          </w:p>
        </w:tc>
        <w:tc>
          <w:tcPr>
            <w:tcW w:w="2415" w:type="dxa"/>
            <w:shd w:val="clear" w:color="auto" w:fill="auto"/>
            <w:vAlign w:val="center"/>
          </w:tcPr>
          <w:p w14:paraId="1A139D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
                <w:bCs/>
                <w:kern w:val="2"/>
                <w:sz w:val="21"/>
                <w:szCs w:val="24"/>
                <w:vertAlign w:val="baseline"/>
                <w:lang w:val="en-US" w:eastAsia="zh-CN" w:bidi="ar-SA"/>
              </w:rPr>
            </w:pPr>
            <w:r>
              <w:rPr>
                <w:rFonts w:hint="eastAsia"/>
                <w:b/>
                <w:bCs/>
                <w:vertAlign w:val="baseline"/>
                <w:lang w:eastAsia="zh-CN"/>
              </w:rPr>
              <w:t>租金涨幅</w:t>
            </w:r>
          </w:p>
        </w:tc>
      </w:tr>
      <w:tr w14:paraId="77A8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82" w:type="dxa"/>
            <w:vAlign w:val="center"/>
          </w:tcPr>
          <w:p w14:paraId="7A536C3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宋体" w:hAnsi="宋体" w:cs="宋体"/>
                <w:b/>
                <w:bCs w:val="0"/>
                <w:color w:val="auto"/>
                <w:kern w:val="0"/>
                <w:sz w:val="18"/>
                <w:szCs w:val="18"/>
                <w:highlight w:val="none"/>
                <w:vertAlign w:val="baseline"/>
                <w:lang w:val="en-US" w:eastAsia="zh-CN"/>
              </w:rPr>
            </w:pPr>
            <w:r>
              <w:rPr>
                <w:rFonts w:hint="eastAsia" w:ascii="宋体" w:hAnsi="宋体" w:cs="宋体"/>
                <w:b/>
                <w:bCs w:val="0"/>
                <w:color w:val="auto"/>
                <w:kern w:val="0"/>
                <w:sz w:val="18"/>
                <w:szCs w:val="18"/>
                <w:highlight w:val="none"/>
                <w:vertAlign w:val="baseline"/>
                <w:lang w:val="en-US" w:eastAsia="zh-CN"/>
              </w:rPr>
              <w:t>1</w:t>
            </w:r>
          </w:p>
        </w:tc>
        <w:tc>
          <w:tcPr>
            <w:tcW w:w="2019" w:type="dxa"/>
            <w:vAlign w:val="center"/>
          </w:tcPr>
          <w:p w14:paraId="41DF61D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安馨华苑100套住宅，</w:t>
            </w:r>
          </w:p>
          <w:p w14:paraId="74D6AD6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配套100个地下车位及62个自行车库</w:t>
            </w:r>
          </w:p>
        </w:tc>
        <w:tc>
          <w:tcPr>
            <w:tcW w:w="1170" w:type="dxa"/>
            <w:shd w:val="clear" w:color="auto" w:fill="auto"/>
            <w:vAlign w:val="center"/>
          </w:tcPr>
          <w:p w14:paraId="018C7A8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lang w:val="en-US" w:eastAsia="zh-CN" w:bidi="ar-SA"/>
              </w:rPr>
              <w:t>13273.44</w:t>
            </w:r>
          </w:p>
        </w:tc>
        <w:tc>
          <w:tcPr>
            <w:tcW w:w="1995" w:type="dxa"/>
            <w:vMerge w:val="restart"/>
            <w:shd w:val="clear" w:color="auto" w:fill="auto"/>
            <w:vAlign w:val="center"/>
          </w:tcPr>
          <w:p w14:paraId="5F40AB9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9年零10个月</w:t>
            </w:r>
          </w:p>
          <w:p w14:paraId="09C0D8D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（2026年3月1日至2035年12月31日）</w:t>
            </w:r>
          </w:p>
        </w:tc>
        <w:tc>
          <w:tcPr>
            <w:tcW w:w="1335" w:type="dxa"/>
            <w:shd w:val="clear" w:color="auto" w:fill="auto"/>
            <w:vAlign w:val="center"/>
          </w:tcPr>
          <w:p w14:paraId="0A5447F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lang w:val="en-US" w:eastAsia="zh-CN"/>
              </w:rPr>
              <w:t>125.9649</w:t>
            </w:r>
          </w:p>
        </w:tc>
        <w:tc>
          <w:tcPr>
            <w:tcW w:w="2415" w:type="dxa"/>
            <w:vMerge w:val="restart"/>
            <w:shd w:val="clear" w:color="auto" w:fill="auto"/>
            <w:vAlign w:val="center"/>
          </w:tcPr>
          <w:p w14:paraId="0105998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前3年租金不变，第4-6年租金在第3年租金的基础上递增3%；第7-10年租金在第6年租金的基础上递增3%。</w:t>
            </w:r>
          </w:p>
        </w:tc>
      </w:tr>
      <w:tr w14:paraId="37B4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14:paraId="7FA22B5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宋体" w:hAnsi="宋体" w:cs="宋体"/>
                <w:b/>
                <w:bCs w:val="0"/>
                <w:color w:val="auto"/>
                <w:kern w:val="0"/>
                <w:sz w:val="18"/>
                <w:szCs w:val="18"/>
                <w:highlight w:val="none"/>
                <w:vertAlign w:val="baseline"/>
                <w:lang w:val="en-US" w:eastAsia="zh-CN"/>
              </w:rPr>
            </w:pPr>
            <w:r>
              <w:rPr>
                <w:rFonts w:hint="eastAsia" w:ascii="宋体" w:hAnsi="宋体" w:cs="宋体"/>
                <w:b/>
                <w:bCs w:val="0"/>
                <w:color w:val="auto"/>
                <w:kern w:val="0"/>
                <w:sz w:val="18"/>
                <w:szCs w:val="18"/>
                <w:highlight w:val="none"/>
                <w:vertAlign w:val="baseline"/>
                <w:lang w:val="en-US" w:eastAsia="zh-CN"/>
              </w:rPr>
              <w:t>2</w:t>
            </w:r>
          </w:p>
        </w:tc>
        <w:tc>
          <w:tcPr>
            <w:tcW w:w="2019" w:type="dxa"/>
            <w:vAlign w:val="center"/>
          </w:tcPr>
          <w:p w14:paraId="7D127E3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北辰雅苑100套住宅，</w:t>
            </w:r>
          </w:p>
          <w:p w14:paraId="0C80BC3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配套100个地下车位及29个储藏室</w:t>
            </w:r>
          </w:p>
        </w:tc>
        <w:tc>
          <w:tcPr>
            <w:tcW w:w="1170" w:type="dxa"/>
            <w:shd w:val="clear" w:color="auto" w:fill="auto"/>
            <w:vAlign w:val="center"/>
          </w:tcPr>
          <w:p w14:paraId="302E291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lang w:val="en-US" w:eastAsia="zh-CN" w:bidi="ar-SA"/>
              </w:rPr>
              <w:t>11212.77</w:t>
            </w:r>
          </w:p>
        </w:tc>
        <w:tc>
          <w:tcPr>
            <w:tcW w:w="1995" w:type="dxa"/>
            <w:vMerge w:val="continue"/>
            <w:vAlign w:val="center"/>
          </w:tcPr>
          <w:p w14:paraId="5BC96B5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cs="宋体"/>
                <w:b w:val="0"/>
                <w:bCs/>
                <w:color w:val="auto"/>
                <w:kern w:val="0"/>
                <w:sz w:val="18"/>
                <w:szCs w:val="18"/>
                <w:highlight w:val="none"/>
                <w:lang w:val="en-US" w:eastAsia="zh-CN"/>
              </w:rPr>
            </w:pPr>
          </w:p>
        </w:tc>
        <w:tc>
          <w:tcPr>
            <w:tcW w:w="1335" w:type="dxa"/>
            <w:vAlign w:val="center"/>
          </w:tcPr>
          <w:p w14:paraId="7138C76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122.7798</w:t>
            </w:r>
          </w:p>
        </w:tc>
        <w:tc>
          <w:tcPr>
            <w:tcW w:w="2415" w:type="dxa"/>
            <w:vMerge w:val="continue"/>
            <w:shd w:val="clear" w:color="auto" w:fill="auto"/>
            <w:vAlign w:val="center"/>
          </w:tcPr>
          <w:p w14:paraId="26E022B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cs="宋体"/>
                <w:b w:val="0"/>
                <w:bCs/>
                <w:color w:val="auto"/>
                <w:kern w:val="0"/>
                <w:sz w:val="18"/>
                <w:szCs w:val="18"/>
                <w:highlight w:val="none"/>
                <w:lang w:val="en-US" w:eastAsia="zh-CN"/>
              </w:rPr>
            </w:pPr>
          </w:p>
        </w:tc>
      </w:tr>
      <w:tr w14:paraId="2965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82" w:type="dxa"/>
            <w:vAlign w:val="center"/>
          </w:tcPr>
          <w:p w14:paraId="5360CA7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宋体" w:hAnsi="宋体" w:cs="宋体"/>
                <w:b/>
                <w:bCs w:val="0"/>
                <w:color w:val="auto"/>
                <w:kern w:val="0"/>
                <w:sz w:val="18"/>
                <w:szCs w:val="18"/>
                <w:highlight w:val="none"/>
                <w:vertAlign w:val="baseline"/>
                <w:lang w:val="en-US" w:eastAsia="zh-CN"/>
              </w:rPr>
            </w:pPr>
            <w:r>
              <w:rPr>
                <w:rFonts w:hint="eastAsia" w:ascii="宋体" w:hAnsi="宋体" w:cs="宋体"/>
                <w:b/>
                <w:bCs w:val="0"/>
                <w:color w:val="auto"/>
                <w:kern w:val="0"/>
                <w:sz w:val="18"/>
                <w:szCs w:val="18"/>
                <w:highlight w:val="none"/>
                <w:vertAlign w:val="baseline"/>
                <w:lang w:val="en-US" w:eastAsia="zh-CN"/>
              </w:rPr>
              <w:t>3</w:t>
            </w:r>
          </w:p>
        </w:tc>
        <w:tc>
          <w:tcPr>
            <w:tcW w:w="2019" w:type="dxa"/>
            <w:vAlign w:val="center"/>
          </w:tcPr>
          <w:p w14:paraId="4C3B649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三凤雅苑100套住宅，</w:t>
            </w:r>
          </w:p>
          <w:p w14:paraId="6208915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配备50个地下车位</w:t>
            </w:r>
          </w:p>
          <w:p w14:paraId="0776857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及83个储藏室</w:t>
            </w:r>
          </w:p>
        </w:tc>
        <w:tc>
          <w:tcPr>
            <w:tcW w:w="1170" w:type="dxa"/>
            <w:shd w:val="clear" w:color="auto" w:fill="auto"/>
            <w:vAlign w:val="center"/>
          </w:tcPr>
          <w:p w14:paraId="02404E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eastAsia="宋体" w:cs="宋体"/>
                <w:b w:val="0"/>
                <w:bCs/>
                <w:color w:val="auto"/>
                <w:kern w:val="0"/>
                <w:sz w:val="18"/>
                <w:szCs w:val="18"/>
                <w:highlight w:val="none"/>
                <w:lang w:val="en-US" w:eastAsia="zh-CN" w:bidi="ar-SA"/>
              </w:rPr>
            </w:pPr>
            <w:r>
              <w:rPr>
                <w:rFonts w:hint="eastAsia" w:ascii="宋体" w:hAnsi="宋体" w:cs="宋体"/>
                <w:b w:val="0"/>
                <w:bCs/>
                <w:color w:val="auto"/>
                <w:kern w:val="0"/>
                <w:sz w:val="18"/>
                <w:szCs w:val="18"/>
                <w:highlight w:val="none"/>
                <w:lang w:val="en-US" w:eastAsia="zh-CN" w:bidi="ar-SA"/>
              </w:rPr>
              <w:t>10796.83</w:t>
            </w:r>
          </w:p>
        </w:tc>
        <w:tc>
          <w:tcPr>
            <w:tcW w:w="1995" w:type="dxa"/>
            <w:vAlign w:val="center"/>
          </w:tcPr>
          <w:p w14:paraId="65F5813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19年零9个月</w:t>
            </w:r>
          </w:p>
          <w:p w14:paraId="4962201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（2026年3月1日至2045年11月30日）</w:t>
            </w:r>
          </w:p>
        </w:tc>
        <w:tc>
          <w:tcPr>
            <w:tcW w:w="1335" w:type="dxa"/>
            <w:vAlign w:val="center"/>
          </w:tcPr>
          <w:p w14:paraId="724D2C4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137.5354</w:t>
            </w:r>
          </w:p>
        </w:tc>
        <w:tc>
          <w:tcPr>
            <w:tcW w:w="2415" w:type="dxa"/>
            <w:shd w:val="clear" w:color="auto" w:fill="auto"/>
            <w:vAlign w:val="center"/>
          </w:tcPr>
          <w:p w14:paraId="32CAC85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前3年租金不变，第4年开始，每3年租金环比递增3%。</w:t>
            </w:r>
          </w:p>
        </w:tc>
      </w:tr>
    </w:tbl>
    <w:p w14:paraId="77B9DCE4">
      <w:pPr>
        <w:keepNext w:val="0"/>
        <w:keepLines w:val="0"/>
        <w:pageBreakBefore w:val="0"/>
        <w:widowControl w:val="0"/>
        <w:kinsoku/>
        <w:wordWrap/>
        <w:overflowPunct/>
        <w:topLinePunct w:val="0"/>
        <w:autoSpaceDE/>
        <w:autoSpaceDN/>
        <w:bidi w:val="0"/>
        <w:adjustRightInd/>
        <w:snapToGrid/>
        <w:spacing w:line="480" w:lineRule="exact"/>
        <w:ind w:firstLine="470" w:firstLineChars="195"/>
        <w:textAlignment w:val="auto"/>
        <w:rPr>
          <w:rFonts w:hint="eastAsia" w:ascii="宋体" w:hAnsi="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标的说明：</w:t>
      </w:r>
    </w:p>
    <w:p w14:paraId="514076FF">
      <w:pPr>
        <w:keepNext w:val="0"/>
        <w:keepLines w:val="0"/>
        <w:pageBreakBefore w:val="0"/>
        <w:widowControl w:val="0"/>
        <w:kinsoku/>
        <w:wordWrap/>
        <w:overflowPunct/>
        <w:topLinePunct w:val="0"/>
        <w:autoSpaceDE/>
        <w:autoSpaceDN/>
        <w:bidi w:val="0"/>
        <w:adjustRightInd/>
        <w:snapToGrid/>
        <w:spacing w:line="480" w:lineRule="exact"/>
        <w:ind w:firstLine="470" w:firstLineChars="195"/>
        <w:textAlignment w:val="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b/>
          <w:bCs/>
          <w:color w:val="000000" w:themeColor="text1"/>
          <w:sz w:val="24"/>
          <w:lang w:val="en-US" w:eastAsia="zh-CN"/>
          <w14:textFill>
            <w14:solidFill>
              <w14:schemeClr w14:val="tx1"/>
            </w14:solidFill>
          </w14:textFill>
        </w:rPr>
        <w:t>（一）标的物明细详见附件1。</w:t>
      </w:r>
      <w:r>
        <w:rPr>
          <w:rFonts w:hint="eastAsia" w:ascii="宋体" w:hAnsi="宋体" w:eastAsia="宋体"/>
          <w:color w:val="000000" w:themeColor="text1"/>
          <w:sz w:val="24"/>
          <w:lang w:val="en-US" w:eastAsia="zh-CN"/>
          <w14:textFill>
            <w14:solidFill>
              <w14:schemeClr w14:val="tx1"/>
            </w14:solidFill>
          </w14:textFill>
        </w:rPr>
        <w:t>竞买保证金：人民币</w:t>
      </w:r>
      <w:r>
        <w:rPr>
          <w:rFonts w:hint="eastAsia" w:ascii="宋体" w:hAnsi="宋体"/>
          <w:color w:val="000000" w:themeColor="text1"/>
          <w:sz w:val="24"/>
          <w:lang w:val="en-US" w:eastAsia="zh-CN"/>
          <w14:textFill>
            <w14:solidFill>
              <w14:schemeClr w14:val="tx1"/>
            </w14:solidFill>
          </w14:textFill>
        </w:rPr>
        <w:t>20</w:t>
      </w:r>
      <w:r>
        <w:rPr>
          <w:rFonts w:hint="eastAsia" w:ascii="宋体" w:hAnsi="宋体" w:eastAsia="宋体"/>
          <w:color w:val="000000" w:themeColor="text1"/>
          <w:sz w:val="24"/>
          <w:lang w:val="en-US" w:eastAsia="zh-CN"/>
          <w14:textFill>
            <w14:solidFill>
              <w14:schemeClr w14:val="tx1"/>
            </w14:solidFill>
          </w14:textFill>
        </w:rPr>
        <w:t>万元/标的；证载用途：住宅；</w:t>
      </w:r>
      <w:r>
        <w:rPr>
          <w:rFonts w:hint="eastAsia" w:ascii="宋体" w:hAnsi="宋体" w:eastAsia="宋体"/>
          <w:color w:val="auto"/>
          <w:sz w:val="24"/>
          <w:u w:val="none"/>
          <w:lang w:val="en-US" w:eastAsia="zh-CN"/>
        </w:rPr>
        <w:t>租赁要求：保障性</w:t>
      </w:r>
      <w:r>
        <w:rPr>
          <w:rFonts w:hint="eastAsia" w:ascii="宋体" w:hAnsi="宋体"/>
          <w:color w:val="auto"/>
          <w:sz w:val="24"/>
          <w:u w:val="none"/>
          <w:lang w:val="en-US" w:eastAsia="zh-CN"/>
        </w:rPr>
        <w:t>公寓</w:t>
      </w:r>
      <w:r>
        <w:rPr>
          <w:rFonts w:hint="eastAsia" w:ascii="宋体" w:hAnsi="宋体" w:eastAsia="宋体"/>
          <w:color w:val="auto"/>
          <w:sz w:val="24"/>
          <w:u w:val="none"/>
          <w:lang w:val="en-US" w:eastAsia="zh-CN"/>
        </w:rPr>
        <w:t>；</w:t>
      </w:r>
      <w:r>
        <w:rPr>
          <w:rFonts w:hint="eastAsia" w:ascii="宋体" w:hAnsi="宋体" w:eastAsia="宋体"/>
          <w:color w:val="000000" w:themeColor="text1"/>
          <w:sz w:val="24"/>
          <w:lang w:val="en-US" w:eastAsia="zh-CN"/>
          <w14:textFill>
            <w14:solidFill>
              <w14:schemeClr w14:val="tx1"/>
            </w14:solidFill>
          </w14:textFill>
        </w:rPr>
        <w:t>现状：白坯；免租金装修期：8个月（2026年3月1日至2026年10月31日）；租金起计日：免租金装修期次日。</w:t>
      </w:r>
    </w:p>
    <w:p w14:paraId="5CD4D9E4">
      <w:pPr>
        <w:keepNext w:val="0"/>
        <w:keepLines w:val="0"/>
        <w:pageBreakBefore w:val="0"/>
        <w:widowControl w:val="0"/>
        <w:kinsoku/>
        <w:wordWrap/>
        <w:overflowPunct/>
        <w:topLinePunct w:val="0"/>
        <w:autoSpaceDE/>
        <w:autoSpaceDN/>
        <w:bidi w:val="0"/>
        <w:adjustRightInd/>
        <w:snapToGrid/>
        <w:spacing w:line="480" w:lineRule="exact"/>
        <w:ind w:firstLine="468" w:firstLineChars="195"/>
        <w:textAlignment w:val="auto"/>
        <w:rPr>
          <w:rFonts w:hint="default" w:ascii="宋体" w:hAnsi="宋体"/>
          <w:color w:val="FF0000"/>
          <w:sz w:val="24"/>
          <w:lang w:val="en-US" w:eastAsia="zh-CN"/>
        </w:rPr>
      </w:pPr>
      <w:r>
        <w:rPr>
          <w:rFonts w:hint="eastAsia" w:ascii="宋体" w:hAnsi="宋体" w:eastAsia="宋体"/>
          <w:color w:val="000000" w:themeColor="text1"/>
          <w:sz w:val="24"/>
          <w:lang w:val="en-US" w:eastAsia="zh-CN"/>
          <w14:textFill>
            <w14:solidFill>
              <w14:schemeClr w14:val="tx1"/>
            </w14:solidFill>
          </w14:textFill>
        </w:rPr>
        <w:t>（二）标的物按现状拍卖和交付，竞买人在拍卖前需自行现场踏勘、测算和核实拍卖标的，自行评估并承</w:t>
      </w:r>
      <w:r>
        <w:rPr>
          <w:rFonts w:hint="eastAsia" w:ascii="宋体" w:hAnsi="宋体"/>
          <w:color w:val="000000" w:themeColor="text1"/>
          <w:sz w:val="24"/>
          <w:lang w:val="en-US" w:eastAsia="zh-CN"/>
          <w14:textFill>
            <w14:solidFill>
              <w14:schemeClr w14:val="tx1"/>
            </w14:solidFill>
          </w14:textFill>
        </w:rPr>
        <w:t>担相应的风险，委托双方均不承担拍卖标的的瑕疵担保责任，请竞买人慎重决定竞买行为。因标的物现状引发的纠纷均由买受人自行承担，委托人有权从竞买保证金中直接扣除维权费用。一旦报名参与竞买，即视为对标的一切现状及价格的认可，愿意承担法律责任，并且不得以任何理由提出退还标的物或拒付拍卖成交款及其他费用。</w:t>
      </w:r>
    </w:p>
    <w:p w14:paraId="3A8C4151">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第五条  标的物特别说明（具体以委托人与买受人签订的合同为准）</w:t>
      </w:r>
    </w:p>
    <w:p w14:paraId="0E70ECD1">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竞买人须自愿接受下列条款以及《</w:t>
      </w:r>
      <w:r>
        <w:rPr>
          <w:rFonts w:hint="eastAsia" w:ascii="宋体" w:hAnsi="宋体"/>
          <w:b/>
          <w:color w:val="000000" w:themeColor="text1"/>
          <w:sz w:val="24"/>
          <w:lang w:eastAsia="zh-CN"/>
          <w14:textFill>
            <w14:solidFill>
              <w14:schemeClr w14:val="tx1"/>
            </w14:solidFill>
          </w14:textFill>
        </w:rPr>
        <w:t>房屋租赁合同</w:t>
      </w:r>
      <w:r>
        <w:rPr>
          <w:rFonts w:hint="eastAsia" w:ascii="宋体" w:hAnsi="宋体"/>
          <w:b/>
          <w:color w:val="000000" w:themeColor="text1"/>
          <w:sz w:val="24"/>
          <w14:textFill>
            <w14:solidFill>
              <w14:schemeClr w14:val="tx1"/>
            </w14:solidFill>
          </w14:textFill>
        </w:rPr>
        <w:t>（样本）》条款方可参加拍卖：</w:t>
      </w:r>
    </w:p>
    <w:p w14:paraId="09D5FD9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rPr>
      </w:pPr>
      <w:bookmarkStart w:id="1" w:name="_Hlk122378508"/>
      <w:r>
        <w:rPr>
          <w:rFonts w:hint="eastAsia" w:ascii="宋体" w:hAnsi="宋体"/>
          <w:color w:val="000000"/>
          <w:sz w:val="24"/>
          <w:lang w:eastAsia="zh-CN"/>
        </w:rPr>
        <w:t>（一）</w:t>
      </w:r>
      <w:r>
        <w:rPr>
          <w:rFonts w:hint="eastAsia" w:ascii="宋体" w:hAnsi="宋体"/>
          <w:sz w:val="24"/>
        </w:rPr>
        <w:t>签订《房屋租赁合同》</w:t>
      </w:r>
      <w:r>
        <w:rPr>
          <w:rFonts w:hint="eastAsia" w:ascii="宋体" w:hAnsi="宋体"/>
          <w:sz w:val="24"/>
          <w:lang w:eastAsia="zh-CN"/>
        </w:rPr>
        <w:t>前，</w:t>
      </w:r>
      <w:r>
        <w:rPr>
          <w:rFonts w:hint="eastAsia" w:ascii="宋体" w:hAnsi="宋体"/>
          <w:sz w:val="24"/>
        </w:rPr>
        <w:t>由买受人向委托人支付</w:t>
      </w:r>
      <w:r>
        <w:rPr>
          <w:rFonts w:hint="eastAsia" w:ascii="宋体" w:hAnsi="宋体"/>
          <w:b/>
          <w:color w:val="000000" w:themeColor="text1"/>
          <w:sz w:val="24"/>
          <w14:textFill>
            <w14:solidFill>
              <w14:schemeClr w14:val="tx1"/>
            </w14:solidFill>
          </w14:textFill>
        </w:rPr>
        <w:t>履约保证金</w:t>
      </w:r>
      <w:r>
        <w:rPr>
          <w:rFonts w:hint="eastAsia" w:ascii="宋体" w:hAnsi="宋体"/>
          <w:b/>
          <w:color w:val="000000" w:themeColor="text1"/>
          <w:sz w:val="24"/>
          <w:lang w:val="en-US" w:eastAsia="zh-CN"/>
          <w14:textFill>
            <w14:solidFill>
              <w14:schemeClr w14:val="tx1"/>
            </w14:solidFill>
          </w14:textFill>
        </w:rPr>
        <w:t>：人民币10万元/标的</w:t>
      </w:r>
      <w:r>
        <w:rPr>
          <w:rFonts w:hint="eastAsia" w:ascii="宋体" w:hAnsi="宋体"/>
          <w:b/>
          <w:color w:val="000000" w:themeColor="text1"/>
          <w:sz w:val="24"/>
          <w:lang w:eastAsia="zh-CN"/>
          <w14:textFill>
            <w14:solidFill>
              <w14:schemeClr w14:val="tx1"/>
            </w14:solidFill>
          </w14:textFill>
        </w:rPr>
        <w:t>。</w:t>
      </w:r>
      <w:r>
        <w:rPr>
          <w:rFonts w:hint="eastAsia" w:ascii="宋体" w:hAnsi="宋体"/>
          <w:color w:val="000000"/>
          <w:sz w:val="24"/>
          <w:lang w:eastAsia="zh-CN"/>
        </w:rPr>
        <w:t>委托人</w:t>
      </w:r>
      <w:r>
        <w:rPr>
          <w:rFonts w:hint="eastAsia" w:ascii="宋体" w:hAnsi="宋体"/>
          <w:color w:val="000000"/>
          <w:sz w:val="24"/>
        </w:rPr>
        <w:t>应向</w:t>
      </w:r>
      <w:r>
        <w:rPr>
          <w:rFonts w:hint="eastAsia" w:ascii="宋体" w:hAnsi="宋体"/>
          <w:color w:val="000000"/>
          <w:sz w:val="24"/>
          <w:lang w:eastAsia="zh-CN"/>
        </w:rPr>
        <w:t>买受人</w:t>
      </w:r>
      <w:r>
        <w:rPr>
          <w:rFonts w:hint="eastAsia" w:ascii="宋体" w:hAnsi="宋体"/>
          <w:color w:val="000000"/>
          <w:sz w:val="24"/>
        </w:rPr>
        <w:t>开具收款凭证。待租赁期满或合同解除，</w:t>
      </w:r>
      <w:r>
        <w:rPr>
          <w:rFonts w:hint="eastAsia" w:ascii="宋体" w:hAnsi="宋体"/>
          <w:color w:val="000000"/>
          <w:sz w:val="24"/>
          <w:lang w:val="en-US" w:eastAsia="zh-CN"/>
        </w:rPr>
        <w:t>且买受人</w:t>
      </w:r>
      <w:r>
        <w:rPr>
          <w:rFonts w:hint="eastAsia" w:ascii="宋体" w:hAnsi="宋体"/>
          <w:color w:val="000000"/>
          <w:sz w:val="24"/>
        </w:rPr>
        <w:t>结清租赁期间的日常费用，交还</w:t>
      </w:r>
      <w:r>
        <w:rPr>
          <w:rFonts w:hint="eastAsia" w:ascii="宋体" w:hAnsi="宋体"/>
          <w:color w:val="000000"/>
          <w:sz w:val="24"/>
          <w:lang w:val="en-US" w:eastAsia="zh-CN"/>
        </w:rPr>
        <w:t>租赁标的物</w:t>
      </w:r>
      <w:r>
        <w:rPr>
          <w:rFonts w:hint="eastAsia" w:ascii="宋体" w:hAnsi="宋体"/>
          <w:color w:val="000000"/>
          <w:sz w:val="24"/>
        </w:rPr>
        <w:t>，由</w:t>
      </w:r>
      <w:r>
        <w:rPr>
          <w:rFonts w:hint="eastAsia" w:ascii="宋体" w:hAnsi="宋体"/>
          <w:color w:val="000000"/>
          <w:sz w:val="24"/>
          <w:lang w:eastAsia="zh-CN"/>
        </w:rPr>
        <w:t>委托人在</w:t>
      </w:r>
      <w:r>
        <w:rPr>
          <w:rFonts w:hint="eastAsia" w:ascii="宋体" w:hAnsi="宋体"/>
          <w:color w:val="000000"/>
          <w:sz w:val="24"/>
          <w:lang w:val="en-US" w:eastAsia="zh-CN"/>
        </w:rPr>
        <w:t>10个工作日</w:t>
      </w:r>
      <w:r>
        <w:rPr>
          <w:rFonts w:hint="eastAsia" w:ascii="宋体" w:hAnsi="宋体"/>
          <w:color w:val="000000"/>
          <w:sz w:val="24"/>
          <w:lang w:eastAsia="zh-CN"/>
        </w:rPr>
        <w:t>内</w:t>
      </w:r>
      <w:r>
        <w:rPr>
          <w:rFonts w:hint="eastAsia" w:ascii="宋体" w:hAnsi="宋体"/>
          <w:color w:val="000000"/>
          <w:sz w:val="24"/>
        </w:rPr>
        <w:t>退还履约保证金</w:t>
      </w:r>
      <w:r>
        <w:rPr>
          <w:rFonts w:hint="eastAsia" w:ascii="宋体" w:hAnsi="宋体"/>
          <w:color w:val="000000"/>
          <w:sz w:val="24"/>
          <w:lang w:eastAsia="zh-CN"/>
        </w:rPr>
        <w:t>给买受人</w:t>
      </w:r>
      <w:r>
        <w:rPr>
          <w:rFonts w:hint="eastAsia" w:ascii="宋体" w:hAnsi="宋体"/>
          <w:color w:val="000000"/>
          <w:sz w:val="24"/>
        </w:rPr>
        <w:t>（</w:t>
      </w:r>
      <w:r>
        <w:rPr>
          <w:rFonts w:hint="eastAsia" w:ascii="宋体" w:hAnsi="宋体"/>
          <w:color w:val="000000"/>
          <w:sz w:val="24"/>
          <w:lang w:eastAsia="zh-CN"/>
        </w:rPr>
        <w:t>不</w:t>
      </w:r>
      <w:r>
        <w:rPr>
          <w:rFonts w:hint="eastAsia" w:ascii="宋体" w:hAnsi="宋体"/>
          <w:color w:val="000000"/>
          <w:sz w:val="24"/>
        </w:rPr>
        <w:t>计息）。</w:t>
      </w:r>
    </w:p>
    <w:bookmarkEnd w:id="1"/>
    <w:p w14:paraId="4401E6B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二</w:t>
      </w:r>
      <w:r>
        <w:rPr>
          <w:rFonts w:hint="eastAsia" w:ascii="宋体" w:hAnsi="宋体"/>
          <w:color w:val="000000"/>
          <w:sz w:val="24"/>
          <w:lang w:eastAsia="zh-CN"/>
        </w:rPr>
        <w:t>）租</w:t>
      </w:r>
      <w:r>
        <w:rPr>
          <w:rFonts w:hint="eastAsia" w:ascii="宋体" w:hAnsi="宋体"/>
          <w:color w:val="000000"/>
          <w:sz w:val="24"/>
        </w:rPr>
        <w:t>金实行</w:t>
      </w:r>
      <w:r>
        <w:rPr>
          <w:rFonts w:hint="eastAsia" w:ascii="宋体" w:hAnsi="宋体"/>
          <w:color w:val="000000"/>
          <w:sz w:val="24"/>
          <w:lang w:eastAsia="zh-CN"/>
        </w:rPr>
        <w:t>半年一</w:t>
      </w:r>
      <w:r>
        <w:rPr>
          <w:rFonts w:hint="eastAsia" w:ascii="宋体" w:hAnsi="宋体"/>
          <w:color w:val="000000"/>
          <w:sz w:val="24"/>
        </w:rPr>
        <w:t>付、先付后用的原则</w:t>
      </w:r>
      <w:r>
        <w:rPr>
          <w:rFonts w:hint="eastAsia" w:ascii="Calibri" w:hAnsi="Calibri" w:cs="Calibri"/>
          <w:color w:val="000000"/>
          <w:kern w:val="0"/>
          <w:sz w:val="24"/>
        </w:rPr>
        <w:t>，</w:t>
      </w:r>
      <w:r>
        <w:rPr>
          <w:rFonts w:hint="eastAsia" w:ascii="宋体" w:hAnsi="宋体"/>
          <w:color w:val="000000"/>
          <w:sz w:val="24"/>
        </w:rPr>
        <w:t>买受人应提前</w:t>
      </w:r>
      <w:r>
        <w:rPr>
          <w:rFonts w:hint="eastAsia" w:ascii="宋体" w:hAnsi="宋体"/>
          <w:color w:val="000000"/>
          <w:sz w:val="24"/>
          <w:lang w:val="en-US" w:eastAsia="zh-CN"/>
        </w:rPr>
        <w:t>1个月</w:t>
      </w:r>
      <w:r>
        <w:rPr>
          <w:rFonts w:hint="eastAsia" w:ascii="宋体" w:hAnsi="宋体"/>
          <w:color w:val="000000"/>
          <w:sz w:val="24"/>
        </w:rPr>
        <w:t>将下一年租金交至</w:t>
      </w:r>
      <w:r>
        <w:rPr>
          <w:rFonts w:hint="eastAsia" w:ascii="宋体" w:hAnsi="宋体" w:cs="宋体"/>
          <w:color w:val="000000"/>
          <w:kern w:val="0"/>
          <w:sz w:val="24"/>
          <w:highlight w:val="none"/>
          <w:lang w:val="en-US" w:eastAsia="zh-CN"/>
        </w:rPr>
        <w:t>委托人</w:t>
      </w:r>
      <w:r>
        <w:rPr>
          <w:rFonts w:hint="eastAsia" w:ascii="宋体" w:hAnsi="宋体"/>
          <w:color w:val="000000"/>
          <w:sz w:val="24"/>
          <w:lang w:eastAsia="zh-CN"/>
        </w:rPr>
        <w:t>。</w:t>
      </w:r>
    </w:p>
    <w:p w14:paraId="0F0795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u w:val="none"/>
          <w:lang w:val="en-US" w:eastAsia="zh-CN" w:bidi="ar-SA"/>
        </w:rPr>
      </w:pPr>
      <w:r>
        <w:rPr>
          <w:rFonts w:hint="eastAsia" w:ascii="宋体" w:hAnsi="宋体"/>
          <w:color w:val="000000"/>
          <w:sz w:val="24"/>
          <w:lang w:val="en-US" w:eastAsia="zh-CN"/>
        </w:rPr>
        <w:t>（三）</w:t>
      </w:r>
      <w:r>
        <w:rPr>
          <w:rFonts w:hint="eastAsia" w:ascii="宋体" w:hAnsi="宋体" w:cs="宋体"/>
          <w:color w:val="auto"/>
          <w:kern w:val="0"/>
          <w:sz w:val="24"/>
          <w:szCs w:val="24"/>
          <w:u w:val="none"/>
          <w:lang w:val="en-US" w:eastAsia="zh-CN" w:bidi="ar-SA"/>
        </w:rPr>
        <w:t>租</w:t>
      </w:r>
      <w:r>
        <w:rPr>
          <w:rFonts w:hint="eastAsia" w:ascii="宋体" w:hAnsi="宋体" w:eastAsia="宋体" w:cs="宋体"/>
          <w:color w:val="auto"/>
          <w:kern w:val="0"/>
          <w:sz w:val="24"/>
          <w:szCs w:val="24"/>
          <w:u w:val="none"/>
          <w:lang w:val="en-US" w:eastAsia="zh-CN" w:bidi="ar-SA"/>
        </w:rPr>
        <w:t>赁期间所发生的物业管理、水电等日常费用全部由买受人承担。</w:t>
      </w:r>
    </w:p>
    <w:p w14:paraId="1305595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（四）买受人有权转租标的物，但不得将标的物整体转租或以其他形式交由第三方使用、经营。</w:t>
      </w:r>
    </w:p>
    <w:p w14:paraId="71EC135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（五）买受人须以标的物的名义办妥财产险、公众责任险等各类保险，同时向委托人每年提供上述保单的复印件。</w:t>
      </w:r>
    </w:p>
    <w:p w14:paraId="79F9BEF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（六）买受人应合理使用标的物及其附属设施，并承担标的维护和维修责任</w:t>
      </w:r>
      <w:r>
        <w:rPr>
          <w:rFonts w:hint="eastAsia" w:ascii="宋体" w:hAnsi="宋体" w:cs="宋体"/>
          <w:color w:val="auto"/>
          <w:kern w:val="0"/>
          <w:sz w:val="24"/>
          <w:szCs w:val="24"/>
          <w:u w:val="none"/>
          <w:lang w:val="en-US" w:eastAsia="zh-CN" w:bidi="ar-SA"/>
        </w:rPr>
        <w:t>，主体结构除外</w:t>
      </w:r>
      <w:r>
        <w:rPr>
          <w:rFonts w:hint="eastAsia" w:ascii="宋体" w:hAnsi="宋体" w:eastAsia="宋体" w:cs="宋体"/>
          <w:color w:val="auto"/>
          <w:kern w:val="0"/>
          <w:sz w:val="24"/>
          <w:szCs w:val="24"/>
          <w:u w:val="none"/>
          <w:lang w:val="en-US" w:eastAsia="zh-CN" w:bidi="ar-SA"/>
        </w:rPr>
        <w:t>。如有损坏，所需费用全部由买受人承担。</w:t>
      </w:r>
    </w:p>
    <w:p w14:paraId="6F0E245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（七）买受人应严格按照有关部门管理要求做好安全、环保等相关工作，发生责任事故的，事故责任及经济损失（包括第三方的经济责任）由买受人承担，与委托人无涉。</w:t>
      </w:r>
    </w:p>
    <w:p w14:paraId="5B248D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八）租赁期间，如遇政府征收、收购（如收购人为政府或国企的，买受人无优先购买权）拆迁改造和城市建设施工或城市基础设施改造施工等，则须提前2个月书面通知买受人，买受人应无条件服从并及时归还标的物，除按国家政策对标的物实施的补偿外，委托人不承担违约责任和任何形式的补偿。租金按照实际使用时间计算，多退少补，且履约保证金予以返还。买受人未按时归还标的物，给委托人造成损失的，由买受人承担赔偿责任。</w:t>
      </w:r>
    </w:p>
    <w:p w14:paraId="0B5977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000000"/>
          <w:sz w:val="24"/>
        </w:rPr>
      </w:pPr>
      <w:r>
        <w:rPr>
          <w:rFonts w:hint="eastAsia" w:cs="Times New Roman"/>
          <w:color w:val="000000"/>
          <w:sz w:val="24"/>
          <w:lang w:val="en-US" w:eastAsia="zh-CN"/>
        </w:rPr>
        <w:t>（九）</w:t>
      </w:r>
      <w:r>
        <w:rPr>
          <w:rFonts w:hint="eastAsia" w:ascii="Times New Roman" w:hAnsi="Times New Roman" w:eastAsia="宋体" w:cs="Times New Roman"/>
          <w:color w:val="000000"/>
          <w:sz w:val="24"/>
        </w:rPr>
        <w:t>买受人应在本合同的租期届满或提前解除合同后的</w:t>
      </w:r>
      <w:r>
        <w:rPr>
          <w:rFonts w:hint="eastAsia" w:cs="Times New Roman"/>
          <w:color w:val="000000"/>
          <w:sz w:val="24"/>
          <w:lang w:val="en-US" w:eastAsia="zh-CN"/>
        </w:rPr>
        <w:t>5个工作</w:t>
      </w:r>
      <w:r>
        <w:rPr>
          <w:rFonts w:hint="eastAsia" w:ascii="Times New Roman" w:hAnsi="Times New Roman" w:eastAsia="宋体" w:cs="Times New Roman"/>
          <w:color w:val="000000"/>
          <w:sz w:val="24"/>
        </w:rPr>
        <w:t>日内返还所租赁标的</w:t>
      </w:r>
      <w:r>
        <w:rPr>
          <w:rFonts w:hint="eastAsia" w:ascii="Times New Roman" w:hAnsi="Times New Roman" w:eastAsia="宋体" w:cs="Times New Roman"/>
          <w:color w:val="000000"/>
          <w:sz w:val="24"/>
          <w:lang w:eastAsia="zh-CN"/>
        </w:rPr>
        <w:t>物</w:t>
      </w:r>
      <w:r>
        <w:rPr>
          <w:rFonts w:hint="eastAsia" w:ascii="Times New Roman" w:hAnsi="Times New Roman" w:eastAsia="宋体" w:cs="Times New Roman"/>
          <w:color w:val="000000"/>
          <w:sz w:val="24"/>
        </w:rPr>
        <w:t>及其附属设施，买受人有权将自行添置的可移动部分各类财产收回自行处理，但固定装饰物（指装饰在固定建筑物上，与建筑物不可分离的部分）所有权归</w:t>
      </w:r>
      <w:r>
        <w:rPr>
          <w:rFonts w:hint="eastAsia" w:ascii="宋体" w:hAnsi="宋体" w:cs="宋体"/>
          <w:color w:val="000000"/>
          <w:kern w:val="0"/>
          <w:sz w:val="24"/>
          <w:highlight w:val="none"/>
          <w:lang w:val="en-US" w:eastAsia="zh-CN"/>
        </w:rPr>
        <w:t>委托人</w:t>
      </w:r>
      <w:r>
        <w:rPr>
          <w:rFonts w:hint="eastAsia" w:ascii="Times New Roman" w:hAnsi="Times New Roman" w:eastAsia="宋体" w:cs="Times New Roman"/>
          <w:color w:val="000000"/>
          <w:sz w:val="24"/>
        </w:rPr>
        <w:t>所有，买受人不得拆除，且</w:t>
      </w:r>
      <w:r>
        <w:rPr>
          <w:rFonts w:hint="eastAsia" w:cs="Times New Roman"/>
          <w:color w:val="000000"/>
          <w:sz w:val="24"/>
          <w:lang w:eastAsia="zh-CN"/>
        </w:rPr>
        <w:t>委托人</w:t>
      </w:r>
      <w:r>
        <w:rPr>
          <w:rFonts w:hint="eastAsia" w:ascii="Times New Roman" w:hAnsi="Times New Roman" w:eastAsia="宋体" w:cs="Times New Roman"/>
          <w:color w:val="000000"/>
          <w:sz w:val="24"/>
        </w:rPr>
        <w:t>不作任何经济补偿。超过</w:t>
      </w:r>
      <w:r>
        <w:rPr>
          <w:rFonts w:hint="eastAsia" w:cs="Times New Roman"/>
          <w:color w:val="000000"/>
          <w:sz w:val="24"/>
          <w:lang w:val="en-US" w:eastAsia="zh-CN"/>
        </w:rPr>
        <w:t>5个工作</w:t>
      </w:r>
      <w:r>
        <w:rPr>
          <w:rFonts w:hint="eastAsia" w:ascii="Times New Roman" w:hAnsi="Times New Roman" w:eastAsia="宋体" w:cs="Times New Roman"/>
          <w:color w:val="000000"/>
          <w:sz w:val="24"/>
        </w:rPr>
        <w:t>日的，</w:t>
      </w:r>
      <w:r>
        <w:rPr>
          <w:rFonts w:hint="eastAsia" w:ascii="宋体" w:hAnsi="宋体" w:cs="宋体"/>
          <w:color w:val="000000"/>
          <w:kern w:val="0"/>
          <w:sz w:val="24"/>
          <w:highlight w:val="none"/>
          <w:lang w:val="en-US" w:eastAsia="zh-CN"/>
        </w:rPr>
        <w:t>委托人</w:t>
      </w:r>
      <w:r>
        <w:rPr>
          <w:rFonts w:hint="eastAsia" w:ascii="Times New Roman" w:hAnsi="Times New Roman" w:eastAsia="宋体" w:cs="Times New Roman"/>
          <w:color w:val="000000"/>
          <w:sz w:val="24"/>
        </w:rPr>
        <w:t>有权对所租赁标的及其附属设施自行处理，对逾期未搬的物品，</w:t>
      </w:r>
      <w:r>
        <w:rPr>
          <w:rFonts w:hint="eastAsia" w:ascii="宋体" w:hAnsi="宋体" w:cs="宋体"/>
          <w:color w:val="000000"/>
          <w:kern w:val="0"/>
          <w:sz w:val="24"/>
          <w:highlight w:val="none"/>
          <w:lang w:val="en-US" w:eastAsia="zh-CN"/>
        </w:rPr>
        <w:t>委托人</w:t>
      </w:r>
      <w:r>
        <w:rPr>
          <w:rFonts w:hint="eastAsia" w:ascii="Times New Roman" w:hAnsi="Times New Roman" w:eastAsia="宋体" w:cs="Times New Roman"/>
          <w:color w:val="000000"/>
          <w:sz w:val="24"/>
        </w:rPr>
        <w:t>有权以废弃物予以处理。</w:t>
      </w:r>
    </w:p>
    <w:p w14:paraId="6AF8969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lang w:eastAsia="zh-CN"/>
        </w:rPr>
        <w:t>买受人</w:t>
      </w:r>
      <w:r>
        <w:rPr>
          <w:rFonts w:hint="eastAsia" w:ascii="Times New Roman" w:hAnsi="Times New Roman" w:eastAsia="宋体" w:cs="Times New Roman"/>
          <w:color w:val="000000"/>
          <w:sz w:val="24"/>
        </w:rPr>
        <w:t>返还标的</w:t>
      </w:r>
      <w:r>
        <w:rPr>
          <w:rFonts w:hint="eastAsia" w:ascii="Times New Roman" w:hAnsi="Times New Roman" w:eastAsia="宋体" w:cs="Times New Roman"/>
          <w:color w:val="000000"/>
          <w:sz w:val="24"/>
          <w:lang w:eastAsia="zh-CN"/>
        </w:rPr>
        <w:t>物</w:t>
      </w:r>
      <w:r>
        <w:rPr>
          <w:rFonts w:hint="eastAsia" w:ascii="Times New Roman" w:hAnsi="Times New Roman" w:eastAsia="宋体" w:cs="Times New Roman"/>
          <w:color w:val="000000"/>
          <w:sz w:val="24"/>
        </w:rPr>
        <w:t>及其附属设施应当符合正常使用后的状态。返还时，应经</w:t>
      </w:r>
      <w:r>
        <w:rPr>
          <w:rFonts w:hint="eastAsia" w:ascii="Times New Roman" w:hAnsi="Times New Roman" w:eastAsia="宋体" w:cs="Times New Roman"/>
          <w:color w:val="000000"/>
          <w:sz w:val="24"/>
          <w:lang w:val="en-US" w:eastAsia="zh-CN"/>
        </w:rPr>
        <w:t>委托人</w:t>
      </w:r>
      <w:r>
        <w:rPr>
          <w:rFonts w:hint="eastAsia" w:ascii="Times New Roman" w:hAnsi="Times New Roman" w:eastAsia="宋体" w:cs="Times New Roman"/>
          <w:color w:val="000000"/>
          <w:sz w:val="24"/>
        </w:rPr>
        <w:t>验收签字认可，并相互结清各自应当承担的费用。</w:t>
      </w:r>
    </w:p>
    <w:p w14:paraId="6CF206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十）租赁期满，标的物1、2的买受人可续租一次，续租期限为10年。续租期的前3年租金在第10年租金的基础上递增3%，续租期第4-6年租金在续租期第3年租金的基础上递增3%；续租期第7-10年租金在续租期第6年租金的基础上递增3%。</w:t>
      </w:r>
    </w:p>
    <w:p w14:paraId="1B147A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
          <w:color w:val="000000"/>
          <w:sz w:val="24"/>
        </w:rPr>
      </w:pPr>
      <w:r>
        <w:rPr>
          <w:rFonts w:hint="eastAsia" w:cs="Times New Roman"/>
          <w:color w:val="000000"/>
          <w:sz w:val="24"/>
          <w:lang w:eastAsia="zh-CN"/>
        </w:rPr>
        <w:t>（</w:t>
      </w:r>
      <w:r>
        <w:rPr>
          <w:rFonts w:hint="eastAsia" w:cs="Times New Roman"/>
          <w:color w:val="000000"/>
          <w:sz w:val="24"/>
          <w:lang w:val="en-US" w:eastAsia="zh-CN"/>
        </w:rPr>
        <w:t>十一）标的物装修以及租赁管理等</w:t>
      </w:r>
      <w:r>
        <w:rPr>
          <w:rFonts w:hint="eastAsia" w:ascii="Times New Roman" w:hAnsi="Times New Roman" w:eastAsia="宋体" w:cs="Times New Roman"/>
          <w:color w:val="000000"/>
          <w:sz w:val="24"/>
        </w:rPr>
        <w:t>其他</w:t>
      </w:r>
      <w:r>
        <w:rPr>
          <w:rFonts w:hint="eastAsia" w:cs="Times New Roman"/>
          <w:color w:val="000000"/>
          <w:sz w:val="24"/>
          <w:lang w:eastAsia="zh-CN"/>
        </w:rPr>
        <w:t>条款</w:t>
      </w:r>
      <w:r>
        <w:rPr>
          <w:rFonts w:hint="eastAsia" w:ascii="Times New Roman" w:hAnsi="Times New Roman" w:eastAsia="宋体" w:cs="Times New Roman"/>
          <w:color w:val="000000"/>
          <w:sz w:val="24"/>
        </w:rPr>
        <w:t>内容</w:t>
      </w:r>
      <w:r>
        <w:rPr>
          <w:rFonts w:hint="eastAsia" w:cs="Times New Roman"/>
          <w:color w:val="000000"/>
          <w:sz w:val="24"/>
          <w:lang w:eastAsia="zh-CN"/>
        </w:rPr>
        <w:t>，</w:t>
      </w:r>
      <w:r>
        <w:rPr>
          <w:rFonts w:hint="eastAsia" w:ascii="Times New Roman" w:hAnsi="Times New Roman" w:eastAsia="宋体" w:cs="Times New Roman"/>
          <w:color w:val="000000"/>
          <w:sz w:val="24"/>
        </w:rPr>
        <w:t>详见</w:t>
      </w:r>
      <w:r>
        <w:rPr>
          <w:rFonts w:hint="eastAsia" w:cs="Times New Roman"/>
          <w:color w:val="000000"/>
          <w:sz w:val="24"/>
          <w:lang w:eastAsia="zh-CN"/>
        </w:rPr>
        <w:t>附件</w:t>
      </w:r>
      <w:r>
        <w:rPr>
          <w:rFonts w:hint="eastAsia" w:cs="Times New Roman"/>
          <w:color w:val="000000"/>
          <w:sz w:val="24"/>
          <w:lang w:val="en-US" w:eastAsia="zh-CN"/>
        </w:rPr>
        <w:t>2</w:t>
      </w:r>
      <w:r>
        <w:rPr>
          <w:rFonts w:hint="eastAsia" w:ascii="Times New Roman" w:hAnsi="Times New Roman" w:eastAsia="宋体" w:cs="Times New Roman"/>
          <w:color w:val="000000"/>
          <w:sz w:val="24"/>
        </w:rPr>
        <w:t>《</w:t>
      </w:r>
      <w:r>
        <w:rPr>
          <w:rFonts w:hint="eastAsia" w:ascii="Times New Roman" w:hAnsi="Times New Roman" w:eastAsia="宋体" w:cs="Times New Roman"/>
          <w:color w:val="000000"/>
          <w:sz w:val="24"/>
          <w:lang w:eastAsia="zh-CN"/>
        </w:rPr>
        <w:t>房屋租赁合同</w:t>
      </w:r>
      <w:r>
        <w:rPr>
          <w:rFonts w:hint="eastAsia" w:ascii="Times New Roman" w:hAnsi="Times New Roman" w:eastAsia="宋体" w:cs="Times New Roman"/>
          <w:color w:val="000000"/>
          <w:sz w:val="24"/>
        </w:rPr>
        <w:t>（样本）》。</w:t>
      </w:r>
    </w:p>
    <w:p w14:paraId="3A8E81E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拍卖前期活动</w:t>
      </w:r>
    </w:p>
    <w:p w14:paraId="59E8EE84">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2" w:firstLineChars="20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第六条 </w:t>
      </w:r>
      <w:r>
        <w:rPr>
          <w:rFonts w:hint="eastAsia" w:ascii="宋体" w:hAnsi="宋体"/>
          <w:color w:val="000000" w:themeColor="text1"/>
          <w:sz w:val="24"/>
          <w14:textFill>
            <w14:solidFill>
              <w14:schemeClr w14:val="tx1"/>
            </w14:solidFill>
          </w14:textFill>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2305312">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若拍卖文件需要修正或补充的，拍卖人可以在举行拍卖会之前告知竞买人。如修正或补充内容涉及实质性变化的，须重新计算公告期。竞买人一经参拍或应价的，均视为已接受此修正或补充。</w:t>
      </w:r>
    </w:p>
    <w:p w14:paraId="39C046E4">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在拍卖会举行前，如委托人决定中止、暂缓或终止委托拍卖的，则竞买人应当无条件的予以接受，交纳的竞买保证金(按银行同期活期存款利率计息）予以退还，委托人和拍卖人不承担竞买人的一切损失。</w:t>
      </w:r>
    </w:p>
    <w:p w14:paraId="38E02B5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第七条</w:t>
      </w:r>
      <w:r>
        <w:rPr>
          <w:rFonts w:hint="eastAsia" w:ascii="宋体" w:hAnsi="宋体"/>
          <w:color w:val="000000" w:themeColor="text1"/>
          <w:sz w:val="24"/>
          <w14:textFill>
            <w14:solidFill>
              <w14:schemeClr w14:val="tx1"/>
            </w14:solidFill>
          </w14:textFill>
        </w:rPr>
        <w:t xml:space="preserve">  竞买人应在报名登记前按时、足额交纳竞买保证金（按银行同期活期存款利率计息）。</w:t>
      </w:r>
    </w:p>
    <w:p w14:paraId="76916A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（一）竞买人在竞价平台上注册的账户和密码是参加平台竞价的必要依据，应自行慎重保管，若因转交他人、遗忘或被盗等产生的结果及可能导致的纠纷和经济损失，均由竞买人自行负全责，与拍卖人无涉。</w:t>
      </w:r>
    </w:p>
    <w:p w14:paraId="79EE790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w:t>
      </w:r>
      <w:r>
        <w:rPr>
          <w:rFonts w:hint="eastAsia" w:ascii="宋体" w:hAnsi="宋体"/>
          <w:b/>
          <w:color w:val="000000" w:themeColor="text1"/>
          <w:sz w:val="24"/>
          <w14:textFill>
            <w14:solidFill>
              <w14:schemeClr w14:val="tx1"/>
            </w14:solidFill>
          </w14:textFill>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1A044A7D">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网络拍卖</w:t>
      </w:r>
    </w:p>
    <w:p w14:paraId="3058CFB2">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w:t>
      </w:r>
      <w:r>
        <w:rPr>
          <w:rFonts w:hint="eastAsia" w:ascii="宋体" w:hAnsi="宋体"/>
          <w:b/>
          <w:bCs/>
          <w:color w:val="000000" w:themeColor="text1"/>
          <w:sz w:val="24"/>
          <w14:textFill>
            <w14:solidFill>
              <w14:schemeClr w14:val="tx1"/>
            </w14:solidFill>
          </w14:textFill>
        </w:rPr>
        <w:t>八</w:t>
      </w:r>
      <w:r>
        <w:rPr>
          <w:rFonts w:ascii="宋体" w:hAnsi="宋体"/>
          <w:b/>
          <w:bCs/>
          <w:color w:val="000000" w:themeColor="text1"/>
          <w:sz w:val="24"/>
          <w14:textFill>
            <w14:solidFill>
              <w14:schemeClr w14:val="tx1"/>
            </w14:solidFill>
          </w14:textFill>
        </w:rPr>
        <w:t>条</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本次拍卖标的经过规定的</w:t>
      </w:r>
      <w:r>
        <w:rPr>
          <w:rFonts w:hint="eastAsia" w:ascii="宋体" w:hAnsi="宋体"/>
          <w:color w:val="000000" w:themeColor="text1"/>
          <w:sz w:val="24"/>
          <w:lang w:eastAsia="zh-CN"/>
          <w14:textFill>
            <w14:solidFill>
              <w14:schemeClr w14:val="tx1"/>
            </w14:solidFill>
          </w14:textFill>
        </w:rPr>
        <w:t>报刊、</w:t>
      </w:r>
      <w:r>
        <w:rPr>
          <w:rFonts w:hint="eastAsia" w:ascii="宋体" w:hAnsi="宋体"/>
          <w:color w:val="000000" w:themeColor="text1"/>
          <w:sz w:val="24"/>
          <w14:textFill>
            <w14:solidFill>
              <w14:schemeClr w14:val="tx1"/>
            </w14:solidFill>
          </w14:textFill>
        </w:rPr>
        <w:t>网络发布公告，并经实地展示，在“宁波阳明拍卖有限公司网络拍卖平台”进行公开拍卖。</w:t>
      </w:r>
    </w:p>
    <w:p w14:paraId="284FB863">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温馨提示：①在竞价前，竞买人应选择良好的网络环境下进行电脑操作；②在竞价过程中，竞买人应仔细核对报价金额是否有误；③为确保竞价过程顺利进行，应适时刷新页面。</w:t>
      </w:r>
    </w:p>
    <w:p w14:paraId="2D86F30E">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本次拍卖采用“网络拍卖”的方式，价高者得的原则，</w:t>
      </w:r>
      <w:r>
        <w:rPr>
          <w:rFonts w:hint="eastAsia" w:ascii="宋体" w:hAnsi="宋体"/>
          <w:color w:val="000000" w:themeColor="text1"/>
          <w:sz w:val="24"/>
          <w:lang w:val="en-US" w:eastAsia="zh-CN"/>
          <w14:textFill>
            <w14:solidFill>
              <w14:schemeClr w14:val="tx1"/>
            </w14:solidFill>
          </w14:textFill>
        </w:rPr>
        <w:t>产生最终买受人</w:t>
      </w:r>
      <w:r>
        <w:rPr>
          <w:rFonts w:hint="eastAsia" w:ascii="宋体" w:hAnsi="宋体"/>
          <w:color w:val="000000" w:themeColor="text1"/>
          <w:sz w:val="24"/>
          <w14:textFill>
            <w14:solidFill>
              <w14:schemeClr w14:val="tx1"/>
            </w14:solidFill>
          </w14:textFill>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38359C0A">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若本次拍卖有优先权人参加，具有优先权的竞</w:t>
      </w:r>
      <w:r>
        <w:rPr>
          <w:rFonts w:hint="eastAsia" w:ascii="宋体" w:hAnsi="宋体"/>
          <w:color w:val="auto"/>
          <w:sz w:val="24"/>
          <w:highlight w:val="none"/>
          <w:lang w:eastAsia="zh-CN"/>
        </w:rPr>
        <w:t>买</w:t>
      </w:r>
      <w:r>
        <w:rPr>
          <w:rFonts w:hint="eastAsia" w:ascii="宋体" w:hAnsi="宋体"/>
          <w:color w:val="auto"/>
          <w:sz w:val="24"/>
          <w:highlight w:val="none"/>
        </w:rPr>
        <w:t>人</w:t>
      </w:r>
      <w:r>
        <w:rPr>
          <w:rFonts w:hint="eastAsia" w:ascii="宋体" w:hAnsi="宋体"/>
          <w:color w:val="auto"/>
          <w:sz w:val="24"/>
          <w:highlight w:val="none"/>
          <w:lang w:eastAsia="zh-CN"/>
        </w:rPr>
        <w:t>可</w:t>
      </w:r>
      <w:r>
        <w:rPr>
          <w:rFonts w:hint="eastAsia" w:ascii="宋体" w:hAnsi="宋体"/>
          <w:color w:val="auto"/>
          <w:sz w:val="24"/>
          <w:highlight w:val="none"/>
        </w:rPr>
        <w:t>在竞价</w:t>
      </w:r>
      <w:r>
        <w:rPr>
          <w:rFonts w:hint="eastAsia" w:ascii="宋体" w:hAnsi="宋体"/>
          <w:color w:val="auto"/>
          <w:sz w:val="24"/>
          <w:highlight w:val="none"/>
          <w:lang w:eastAsia="zh-CN"/>
        </w:rPr>
        <w:t>时间</w:t>
      </w:r>
      <w:r>
        <w:rPr>
          <w:rFonts w:hint="eastAsia" w:ascii="宋体" w:hAnsi="宋体"/>
          <w:color w:val="auto"/>
          <w:sz w:val="24"/>
          <w:highlight w:val="none"/>
        </w:rPr>
        <w:t>内，</w:t>
      </w:r>
      <w:r>
        <w:rPr>
          <w:rFonts w:hint="eastAsia" w:ascii="宋体" w:hAnsi="宋体"/>
          <w:color w:val="auto"/>
          <w:sz w:val="24"/>
          <w:highlight w:val="none"/>
          <w:lang w:eastAsia="zh-CN"/>
        </w:rPr>
        <w:t>对当前价格行使优先权或出更高的价格</w:t>
      </w:r>
      <w:r>
        <w:rPr>
          <w:rFonts w:hint="eastAsia" w:ascii="宋体" w:hAnsi="宋体"/>
          <w:color w:val="auto"/>
          <w:sz w:val="24"/>
          <w:highlight w:val="none"/>
        </w:rPr>
        <w:t>。</w:t>
      </w:r>
      <w:r>
        <w:rPr>
          <w:rFonts w:hint="eastAsia" w:ascii="宋体" w:hAnsi="宋体"/>
          <w:color w:val="auto"/>
          <w:sz w:val="24"/>
          <w:highlight w:val="none"/>
          <w:lang w:eastAsia="zh-CN"/>
        </w:rPr>
        <w:t>如优先权人未出价的，则视为该优先权人自动放弃优先权。</w:t>
      </w:r>
    </w:p>
    <w:p w14:paraId="38C425B8">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auto"/>
          <w:sz w:val="24"/>
          <w:highlight w:val="none"/>
          <w:lang w:eastAsia="zh-CN"/>
        </w:rPr>
        <w:t>如</w:t>
      </w:r>
      <w:r>
        <w:rPr>
          <w:rFonts w:hint="eastAsia" w:ascii="宋体" w:hAnsi="宋体"/>
          <w:color w:val="auto"/>
          <w:sz w:val="24"/>
          <w:highlight w:val="none"/>
        </w:rPr>
        <w:t>当</w:t>
      </w:r>
      <w:r>
        <w:rPr>
          <w:rFonts w:hint="eastAsia" w:ascii="宋体" w:hAnsi="宋体"/>
          <w:color w:val="auto"/>
          <w:sz w:val="24"/>
          <w:highlight w:val="none"/>
          <w:lang w:eastAsia="zh-CN"/>
        </w:rPr>
        <w:t>前最高应价者为</w:t>
      </w:r>
      <w:r>
        <w:rPr>
          <w:rFonts w:hint="eastAsia" w:ascii="宋体" w:hAnsi="宋体"/>
          <w:color w:val="auto"/>
          <w:sz w:val="24"/>
          <w:highlight w:val="none"/>
        </w:rPr>
        <w:t>优先权人</w:t>
      </w:r>
      <w:r>
        <w:rPr>
          <w:rFonts w:hint="eastAsia" w:ascii="宋体" w:hAnsi="宋体"/>
          <w:color w:val="auto"/>
          <w:sz w:val="24"/>
          <w:highlight w:val="none"/>
          <w:lang w:eastAsia="zh-CN"/>
        </w:rPr>
        <w:t>的，</w:t>
      </w:r>
      <w:r>
        <w:rPr>
          <w:rFonts w:hint="eastAsia" w:ascii="宋体" w:hAnsi="宋体"/>
          <w:color w:val="auto"/>
          <w:sz w:val="24"/>
          <w:highlight w:val="none"/>
        </w:rPr>
        <w:t>则买受人为优先权人；如有更高应价，</w:t>
      </w:r>
      <w:r>
        <w:rPr>
          <w:rFonts w:hint="eastAsia" w:ascii="宋体" w:hAnsi="宋体"/>
          <w:color w:val="auto"/>
          <w:sz w:val="24"/>
          <w:highlight w:val="none"/>
          <w:lang w:eastAsia="zh-CN"/>
        </w:rPr>
        <w:t>且</w:t>
      </w:r>
      <w:r>
        <w:rPr>
          <w:rFonts w:hint="eastAsia" w:ascii="宋体" w:hAnsi="宋体"/>
          <w:color w:val="auto"/>
          <w:sz w:val="24"/>
          <w:highlight w:val="none"/>
        </w:rPr>
        <w:t>优先权人不</w:t>
      </w:r>
      <w:r>
        <w:rPr>
          <w:rFonts w:hint="eastAsia" w:ascii="宋体" w:hAnsi="宋体"/>
          <w:color w:val="auto"/>
          <w:sz w:val="24"/>
          <w:highlight w:val="none"/>
          <w:lang w:eastAsia="zh-CN"/>
        </w:rPr>
        <w:t>再出价</w:t>
      </w:r>
      <w:r>
        <w:rPr>
          <w:rFonts w:hint="eastAsia" w:ascii="宋体" w:hAnsi="宋体"/>
          <w:color w:val="auto"/>
          <w:sz w:val="24"/>
          <w:highlight w:val="none"/>
        </w:rPr>
        <w:t>的，则买受人为最高</w:t>
      </w:r>
      <w:r>
        <w:rPr>
          <w:rFonts w:hint="eastAsia" w:ascii="宋体" w:hAnsi="宋体"/>
          <w:color w:val="auto"/>
          <w:sz w:val="24"/>
          <w:highlight w:val="none"/>
          <w:lang w:eastAsia="zh-CN"/>
        </w:rPr>
        <w:t>应价</w:t>
      </w:r>
      <w:r>
        <w:rPr>
          <w:rFonts w:hint="eastAsia" w:ascii="宋体" w:hAnsi="宋体"/>
          <w:color w:val="auto"/>
          <w:sz w:val="24"/>
          <w:highlight w:val="none"/>
        </w:rPr>
        <w:t>的竞买人。</w:t>
      </w:r>
    </w:p>
    <w:p w14:paraId="5A2D29BA">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第九条 </w:t>
      </w:r>
      <w:r>
        <w:rPr>
          <w:rFonts w:hint="eastAsia" w:ascii="宋体" w:hAnsi="宋体"/>
          <w:color w:val="000000" w:themeColor="text1"/>
          <w:sz w:val="24"/>
          <w14:textFill>
            <w14:solidFill>
              <w14:schemeClr w14:val="tx1"/>
            </w14:solidFill>
          </w14:textFill>
        </w:rPr>
        <w:t xml:space="preserve"> 买受人须在成交当日（截止下午5时）到拍卖人处签署《拍卖成交确认书》等拍卖文件。上述文件不论买受人是否签署，其全部条款即对买受人产生约束力并生效。</w:t>
      </w:r>
    </w:p>
    <w:p w14:paraId="4FE751A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第十条  特别注意事项：用户的网站注册人名称必须与竞买保证金交纳人名称、买受人名称一致，否则造成的损失和后果由竞买人自行承担，与拍卖人、委托人无关。</w:t>
      </w:r>
    </w:p>
    <w:p w14:paraId="33F8E018">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拍卖后期工作</w:t>
      </w:r>
    </w:p>
    <w:p w14:paraId="5434C6A1">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第十一条</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未竞得拍卖标的的竞买人，在拍卖会结束后的3个工作日内，由拍卖人凭竞</w:t>
      </w:r>
    </w:p>
    <w:p w14:paraId="7795ADB4">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买人报名时登记的户名及账号退还竞买保证金（</w:t>
      </w:r>
      <w:r>
        <w:rPr>
          <w:rFonts w:hint="eastAsia" w:ascii="宋体" w:hAnsi="宋体"/>
          <w:color w:val="000000"/>
          <w:sz w:val="24"/>
          <w:highlight w:val="none"/>
        </w:rPr>
        <w:t>按银行同期活期存款利率计息</w:t>
      </w:r>
      <w:r>
        <w:rPr>
          <w:rFonts w:hint="eastAsia" w:ascii="宋体" w:hAnsi="宋体"/>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买受人的竞买保证金</w:t>
      </w:r>
      <w:r>
        <w:rPr>
          <w:rFonts w:hint="eastAsia" w:ascii="宋体" w:hAnsi="宋体" w:cs="宋体"/>
          <w:b/>
          <w:bCs/>
          <w:color w:val="000000" w:themeColor="text1"/>
          <w:kern w:val="0"/>
          <w:sz w:val="24"/>
          <w:highlight w:val="none"/>
          <w:lang w:eastAsia="zh-CN"/>
          <w14:textFill>
            <w14:solidFill>
              <w14:schemeClr w14:val="tx1"/>
            </w14:solidFill>
          </w14:textFill>
        </w:rPr>
        <w:t>冲抵租金</w:t>
      </w:r>
      <w:r>
        <w:rPr>
          <w:rFonts w:hint="eastAsia" w:ascii="宋体" w:hAnsi="宋体" w:cs="宋体"/>
          <w:b/>
          <w:bCs/>
          <w:color w:val="000000" w:themeColor="text1"/>
          <w:kern w:val="0"/>
          <w:sz w:val="24"/>
          <w:highlight w:val="none"/>
          <w:lang w:val="en-US" w:eastAsia="zh-CN"/>
          <w14:textFill>
            <w14:solidFill>
              <w14:schemeClr w14:val="tx1"/>
            </w14:solidFill>
          </w14:textFill>
        </w:rPr>
        <w:t>和买受</w:t>
      </w:r>
      <w:r>
        <w:rPr>
          <w:rFonts w:hint="eastAsia" w:ascii="宋体" w:hAnsi="宋体" w:cs="宋体"/>
          <w:b/>
          <w:bCs/>
          <w:color w:val="000000" w:themeColor="text1"/>
          <w:kern w:val="0"/>
          <w:sz w:val="24"/>
          <w:highlight w:val="none"/>
          <w:lang w:eastAsia="zh-CN"/>
          <w14:textFill>
            <w14:solidFill>
              <w14:schemeClr w14:val="tx1"/>
            </w14:solidFill>
          </w14:textFill>
        </w:rPr>
        <w:t>佣金</w:t>
      </w:r>
      <w:r>
        <w:rPr>
          <w:rFonts w:hint="eastAsia" w:ascii="宋体" w:hAnsi="宋体"/>
          <w:color w:val="000000" w:themeColor="text1"/>
          <w:sz w:val="24"/>
          <w:lang w:eastAsia="zh-CN"/>
          <w14:textFill>
            <w14:solidFill>
              <w14:schemeClr w14:val="tx1"/>
            </w14:solidFill>
          </w14:textFill>
        </w:rPr>
        <w:t>。</w:t>
      </w:r>
    </w:p>
    <w:p w14:paraId="7783BB45">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如未收到竞买保证金的，请及时与拍卖人联系（0574-62727901）。</w:t>
      </w:r>
    </w:p>
    <w:p w14:paraId="4D6487A2">
      <w:pPr>
        <w:keepNext w:val="0"/>
        <w:keepLines w:val="0"/>
        <w:pageBreakBefore w:val="0"/>
        <w:widowControl w:val="0"/>
        <w:numPr>
          <w:ilvl w:val="0"/>
          <w:numId w:val="0"/>
        </w:numPr>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color w:val="FF0000"/>
          <w:kern w:val="0"/>
          <w:sz w:val="24"/>
          <w:highlight w:val="none"/>
          <w:lang w:eastAsia="zh-CN"/>
        </w:rPr>
      </w:pPr>
      <w:r>
        <w:rPr>
          <w:rFonts w:hint="eastAsia" w:ascii="宋体" w:hAnsi="宋体" w:cs="宋体"/>
          <w:b/>
          <w:color w:val="000000" w:themeColor="text1"/>
          <w:kern w:val="0"/>
          <w:sz w:val="24"/>
          <w:lang w:eastAsia="zh-CN"/>
          <w14:textFill>
            <w14:solidFill>
              <w14:schemeClr w14:val="tx1"/>
            </w14:solidFill>
          </w14:textFill>
        </w:rPr>
        <w:t>第十二条</w:t>
      </w:r>
      <w:r>
        <w:rPr>
          <w:rFonts w:hint="eastAsia" w:ascii="宋体" w:hAnsi="宋体" w:cs="宋体"/>
          <w:b/>
          <w:color w:val="000000" w:themeColor="text1"/>
          <w:kern w:val="0"/>
          <w:sz w:val="24"/>
          <w14:textFill>
            <w14:solidFill>
              <w14:schemeClr w14:val="tx1"/>
            </w14:solidFill>
          </w14:textFill>
        </w:rPr>
        <w:t xml:space="preserve"> </w:t>
      </w:r>
      <w:r>
        <w:rPr>
          <w:rFonts w:hint="eastAsia" w:ascii="宋体" w:hAnsi="宋体" w:cs="宋体"/>
          <w:b/>
          <w:color w:val="000000" w:themeColor="text1"/>
          <w:kern w:val="0"/>
          <w:sz w:val="24"/>
          <w:lang w:val="en-US" w:eastAsia="zh-CN"/>
          <w14:textFill>
            <w14:solidFill>
              <w14:schemeClr w14:val="tx1"/>
            </w14:solidFill>
          </w14:textFill>
        </w:rPr>
        <w:t xml:space="preserve"> </w:t>
      </w:r>
      <w:r>
        <w:rPr>
          <w:rFonts w:hint="eastAsia" w:ascii="宋体" w:hAnsi="宋体" w:cs="宋体"/>
          <w:b/>
          <w:color w:val="000000" w:themeColor="text1"/>
          <w:kern w:val="0"/>
          <w:sz w:val="24"/>
          <w14:textFill>
            <w14:solidFill>
              <w14:schemeClr w14:val="tx1"/>
            </w14:solidFill>
          </w14:textFill>
        </w:rPr>
        <w:t>付款办法及签约时间</w:t>
      </w:r>
      <w:bookmarkStart w:id="2" w:name="_Hlk122379280"/>
      <w:r>
        <w:rPr>
          <w:rFonts w:hint="eastAsia" w:ascii="宋体" w:hAnsi="宋体" w:cs="宋体"/>
          <w:b/>
          <w:color w:val="000000" w:themeColor="text1"/>
          <w:kern w:val="0"/>
          <w:sz w:val="24"/>
          <w:lang w:eastAsia="zh-CN"/>
          <w14:textFill>
            <w14:solidFill>
              <w14:schemeClr w14:val="tx1"/>
            </w14:solidFill>
          </w14:textFill>
        </w:rPr>
        <w:t>：</w:t>
      </w:r>
      <w:r>
        <w:rPr>
          <w:rFonts w:hint="eastAsia" w:ascii="宋体" w:hAnsi="宋体" w:cs="宋体"/>
          <w:bCs/>
          <w:color w:val="000000"/>
          <w:kern w:val="0"/>
          <w:sz w:val="24"/>
          <w:lang w:eastAsia="zh-CN"/>
        </w:rPr>
        <w:t>买受人</w:t>
      </w:r>
      <w:r>
        <w:rPr>
          <w:rFonts w:hint="eastAsia" w:ascii="宋体" w:hAnsi="宋体" w:cs="宋体"/>
          <w:bCs/>
          <w:color w:val="000000"/>
          <w:kern w:val="0"/>
          <w:sz w:val="24"/>
        </w:rPr>
        <w:t>须在</w:t>
      </w:r>
      <w:r>
        <w:rPr>
          <w:rFonts w:hint="eastAsia" w:ascii="宋体" w:hAnsi="宋体" w:cs="宋体"/>
          <w:bCs/>
          <w:color w:val="000000"/>
          <w:kern w:val="0"/>
          <w:sz w:val="24"/>
          <w:lang w:val="en-US" w:eastAsia="zh-CN"/>
        </w:rPr>
        <w:t>2026</w:t>
      </w:r>
      <w:r>
        <w:rPr>
          <w:rFonts w:ascii="宋体" w:hAnsi="宋体" w:cs="宋体"/>
          <w:color w:val="000000"/>
          <w:kern w:val="0"/>
          <w:sz w:val="24"/>
        </w:rPr>
        <w:t>年</w:t>
      </w:r>
      <w:r>
        <w:rPr>
          <w:rFonts w:hint="eastAsia" w:ascii="宋体" w:hAnsi="宋体" w:cs="宋体"/>
          <w:color w:val="000000"/>
          <w:kern w:val="0"/>
          <w:sz w:val="24"/>
          <w:lang w:val="en-US" w:eastAsia="zh-CN"/>
        </w:rPr>
        <w:t>2</w:t>
      </w:r>
      <w:r>
        <w:rPr>
          <w:rFonts w:ascii="宋体" w:hAnsi="宋体" w:cs="宋体"/>
          <w:color w:val="000000"/>
          <w:kern w:val="0"/>
          <w:sz w:val="24"/>
        </w:rPr>
        <w:t>月</w:t>
      </w:r>
      <w:r>
        <w:rPr>
          <w:rFonts w:hint="eastAsia" w:ascii="宋体" w:hAnsi="宋体" w:cs="宋体"/>
          <w:color w:val="000000"/>
          <w:kern w:val="0"/>
          <w:sz w:val="24"/>
          <w:lang w:val="en-US" w:eastAsia="zh-CN"/>
        </w:rPr>
        <w:t>26</w:t>
      </w:r>
      <w:r>
        <w:rPr>
          <w:rFonts w:ascii="宋体" w:hAnsi="宋体" w:cs="宋体"/>
          <w:color w:val="000000"/>
          <w:kern w:val="0"/>
          <w:sz w:val="24"/>
        </w:rPr>
        <w:t>日</w:t>
      </w:r>
      <w:r>
        <w:rPr>
          <w:rFonts w:hint="eastAsia" w:ascii="宋体" w:hAnsi="宋体" w:cs="宋体"/>
          <w:color w:val="000000"/>
          <w:kern w:val="0"/>
          <w:sz w:val="24"/>
          <w:lang w:eastAsia="zh-CN"/>
        </w:rPr>
        <w:t>下午</w:t>
      </w:r>
      <w:r>
        <w:rPr>
          <w:rFonts w:hint="eastAsia" w:ascii="宋体" w:hAnsi="宋体" w:cs="宋体"/>
          <w:color w:val="000000"/>
          <w:kern w:val="0"/>
          <w:sz w:val="24"/>
          <w:lang w:val="en-US" w:eastAsia="zh-CN"/>
        </w:rPr>
        <w:t>4时</w:t>
      </w:r>
      <w:r>
        <w:rPr>
          <w:rFonts w:hint="eastAsia" w:ascii="宋体" w:hAnsi="宋体" w:cs="宋体"/>
          <w:color w:val="000000"/>
          <w:kern w:val="0"/>
          <w:sz w:val="24"/>
          <w:lang w:eastAsia="zh-CN"/>
        </w:rPr>
        <w:t>前</w:t>
      </w:r>
      <w:r>
        <w:rPr>
          <w:rFonts w:hint="eastAsia" w:ascii="宋体" w:hAnsi="宋体" w:cs="宋体"/>
          <w:b/>
          <w:bCs/>
          <w:color w:val="auto"/>
          <w:kern w:val="0"/>
          <w:sz w:val="24"/>
        </w:rPr>
        <w:t>（</w:t>
      </w:r>
      <w:r>
        <w:rPr>
          <w:rFonts w:ascii="宋体" w:hAnsi="宋体" w:cs="宋体"/>
          <w:b/>
          <w:bCs/>
          <w:color w:val="auto"/>
          <w:kern w:val="0"/>
          <w:sz w:val="24"/>
        </w:rPr>
        <w:t>以实际到账为准）</w:t>
      </w:r>
      <w:r>
        <w:rPr>
          <w:rFonts w:hint="eastAsia" w:ascii="宋体" w:hAnsi="宋体" w:cs="宋体"/>
          <w:b w:val="0"/>
          <w:bCs w:val="0"/>
          <w:color w:val="auto"/>
          <w:kern w:val="0"/>
          <w:sz w:val="24"/>
          <w:lang w:eastAsia="zh-CN"/>
        </w:rPr>
        <w:t>向</w:t>
      </w:r>
      <w:r>
        <w:rPr>
          <w:rFonts w:hint="eastAsia" w:ascii="宋体" w:hAnsi="宋体" w:cs="宋体"/>
          <w:color w:val="000000"/>
          <w:kern w:val="0"/>
          <w:sz w:val="24"/>
          <w:lang w:eastAsia="zh-CN"/>
        </w:rPr>
        <w:t>拍卖人</w:t>
      </w:r>
      <w:r>
        <w:rPr>
          <w:rFonts w:ascii="宋体" w:hAnsi="宋体" w:cs="宋体"/>
          <w:color w:val="000000"/>
          <w:kern w:val="0"/>
          <w:sz w:val="24"/>
        </w:rPr>
        <w:t>一次性付清</w:t>
      </w:r>
      <w:r>
        <w:rPr>
          <w:rFonts w:hint="eastAsia" w:ascii="宋体" w:hAnsi="宋体" w:cs="宋体"/>
          <w:color w:val="000000"/>
          <w:kern w:val="0"/>
          <w:sz w:val="24"/>
          <w:lang w:val="en-US" w:eastAsia="zh-CN"/>
        </w:rPr>
        <w:t>半年租金成交款</w:t>
      </w:r>
      <w:r>
        <w:rPr>
          <w:rFonts w:hint="eastAsia" w:ascii="宋体" w:hAnsi="宋体" w:cs="宋体"/>
          <w:color w:val="000000"/>
          <w:kern w:val="0"/>
          <w:sz w:val="24"/>
          <w:lang w:eastAsia="zh-CN"/>
        </w:rPr>
        <w:t>和</w:t>
      </w:r>
      <w:bookmarkStart w:id="3" w:name="_GoBack"/>
      <w:r>
        <w:rPr>
          <w:rFonts w:hint="eastAsia" w:ascii="宋体" w:hAnsi="宋体" w:cs="宋体"/>
          <w:b/>
          <w:bCs/>
          <w:color w:val="000000"/>
          <w:sz w:val="24"/>
        </w:rPr>
        <w:t>买受佣金</w:t>
      </w:r>
      <w:r>
        <w:rPr>
          <w:rFonts w:hint="eastAsia" w:ascii="宋体" w:hAnsi="宋体" w:cs="宋体"/>
          <w:b/>
          <w:bCs/>
          <w:color w:val="000000"/>
          <w:sz w:val="24"/>
          <w:lang w:eastAsia="zh-CN"/>
        </w:rPr>
        <w:t>（人民币</w:t>
      </w:r>
      <w:r>
        <w:rPr>
          <w:rFonts w:hint="eastAsia" w:ascii="宋体" w:hAnsi="宋体" w:cs="宋体"/>
          <w:b/>
          <w:bCs/>
          <w:color w:val="000000"/>
          <w:sz w:val="24"/>
          <w:lang w:val="en-US" w:eastAsia="zh-CN"/>
        </w:rPr>
        <w:t>1万元</w:t>
      </w:r>
      <w:r>
        <w:rPr>
          <w:rFonts w:hint="default" w:ascii="宋体" w:hAnsi="宋体" w:cs="宋体"/>
          <w:b/>
          <w:bCs/>
          <w:color w:val="000000"/>
          <w:sz w:val="24"/>
          <w:lang w:val="en-US" w:eastAsia="zh-CN"/>
        </w:rPr>
        <w:t>/</w:t>
      </w:r>
      <w:r>
        <w:rPr>
          <w:rFonts w:hint="eastAsia" w:ascii="宋体" w:hAnsi="宋体" w:cs="宋体"/>
          <w:b/>
          <w:bCs/>
          <w:color w:val="000000"/>
          <w:sz w:val="24"/>
          <w:lang w:val="en-US" w:eastAsia="zh-CN"/>
        </w:rPr>
        <w:t>标的</w:t>
      </w:r>
      <w:r>
        <w:rPr>
          <w:rFonts w:hint="eastAsia" w:ascii="宋体" w:hAnsi="宋体" w:cs="宋体"/>
          <w:b/>
          <w:bCs/>
          <w:color w:val="000000"/>
          <w:sz w:val="24"/>
          <w:lang w:eastAsia="zh-CN"/>
        </w:rPr>
        <w:t>）</w:t>
      </w:r>
      <w:bookmarkEnd w:id="3"/>
      <w:r>
        <w:rPr>
          <w:rFonts w:hint="eastAsia" w:ascii="宋体" w:hAnsi="宋体" w:cs="宋体"/>
          <w:color w:val="000000"/>
          <w:sz w:val="24"/>
          <w:lang w:eastAsia="zh-CN"/>
        </w:rPr>
        <w:t>，同时向委托人支付</w:t>
      </w:r>
      <w:r>
        <w:rPr>
          <w:rFonts w:hint="eastAsia" w:ascii="宋体" w:hAnsi="宋体" w:cs="宋体"/>
          <w:color w:val="000000"/>
          <w:kern w:val="0"/>
          <w:sz w:val="24"/>
          <w:lang w:eastAsia="zh-CN"/>
        </w:rPr>
        <w:t>履约保证金，</w:t>
      </w:r>
      <w:r>
        <w:rPr>
          <w:rFonts w:hint="eastAsia" w:ascii="宋体" w:hAnsi="宋体" w:cs="宋体"/>
          <w:color w:val="000000"/>
          <w:kern w:val="0"/>
          <w:sz w:val="24"/>
        </w:rPr>
        <w:t>然后于</w:t>
      </w:r>
      <w:r>
        <w:rPr>
          <w:rFonts w:hint="eastAsia" w:ascii="宋体" w:hAnsi="宋体" w:cs="宋体"/>
          <w:color w:val="000000"/>
          <w:kern w:val="0"/>
          <w:sz w:val="24"/>
          <w:lang w:val="en-US" w:eastAsia="zh-CN"/>
        </w:rPr>
        <w:t>2026</w:t>
      </w:r>
      <w:r>
        <w:rPr>
          <w:rFonts w:hint="eastAsia" w:ascii="宋体" w:hAnsi="宋体" w:cs="宋体"/>
          <w:color w:val="000000"/>
          <w:kern w:val="0"/>
          <w:sz w:val="24"/>
        </w:rPr>
        <w:t>年</w:t>
      </w:r>
      <w:r>
        <w:rPr>
          <w:rFonts w:hint="eastAsia" w:ascii="宋体" w:hAnsi="宋体" w:cs="宋体"/>
          <w:color w:val="000000"/>
          <w:kern w:val="0"/>
          <w:sz w:val="24"/>
          <w:lang w:val="en-US" w:eastAsia="zh-CN"/>
        </w:rPr>
        <w:t>2</w:t>
      </w:r>
      <w:r>
        <w:rPr>
          <w:rFonts w:hint="eastAsia" w:ascii="宋体" w:hAnsi="宋体" w:cs="宋体"/>
          <w:color w:val="000000"/>
          <w:kern w:val="0"/>
          <w:sz w:val="24"/>
        </w:rPr>
        <w:t>月</w:t>
      </w:r>
      <w:r>
        <w:rPr>
          <w:rFonts w:hint="eastAsia" w:ascii="宋体" w:hAnsi="宋体" w:cs="宋体"/>
          <w:color w:val="000000"/>
          <w:kern w:val="0"/>
          <w:sz w:val="24"/>
          <w:lang w:val="en-US" w:eastAsia="zh-CN"/>
        </w:rPr>
        <w:t>27</w:t>
      </w:r>
      <w:r>
        <w:rPr>
          <w:rFonts w:hint="eastAsia" w:ascii="宋体" w:hAnsi="宋体" w:cs="宋体"/>
          <w:color w:val="000000"/>
          <w:kern w:val="0"/>
          <w:sz w:val="24"/>
        </w:rPr>
        <w:t>日</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28日</w:t>
      </w:r>
      <w:r>
        <w:rPr>
          <w:rFonts w:hint="eastAsia" w:ascii="宋体" w:hAnsi="宋体" w:cs="宋体"/>
          <w:color w:val="auto"/>
          <w:kern w:val="0"/>
          <w:sz w:val="24"/>
          <w:lang w:eastAsia="zh-CN"/>
        </w:rPr>
        <w:t>（上午</w:t>
      </w:r>
      <w:r>
        <w:rPr>
          <w:rFonts w:hint="eastAsia" w:ascii="宋体" w:hAnsi="宋体" w:cs="宋体"/>
          <w:color w:val="auto"/>
          <w:kern w:val="0"/>
          <w:sz w:val="24"/>
          <w:lang w:val="en-US" w:eastAsia="zh-CN"/>
        </w:rPr>
        <w:t>9:00-11:00，下午2:00-4:00</w:t>
      </w:r>
      <w:r>
        <w:rPr>
          <w:rFonts w:hint="eastAsia" w:ascii="宋体" w:hAnsi="宋体" w:cs="宋体"/>
          <w:color w:val="auto"/>
          <w:kern w:val="0"/>
          <w:sz w:val="24"/>
          <w:lang w:eastAsia="zh-CN"/>
        </w:rPr>
        <w:t>）</w:t>
      </w:r>
      <w:r>
        <w:rPr>
          <w:rFonts w:hint="eastAsia" w:ascii="宋体" w:hAnsi="宋体" w:cs="宋体"/>
          <w:color w:val="auto"/>
          <w:kern w:val="0"/>
          <w:sz w:val="24"/>
        </w:rPr>
        <w:t>与委托人签订《房屋租赁合同》</w:t>
      </w:r>
      <w:r>
        <w:rPr>
          <w:rFonts w:hint="eastAsia" w:ascii="宋体" w:hAnsi="宋体" w:cs="宋体"/>
          <w:color w:val="auto"/>
          <w:kern w:val="0"/>
          <w:sz w:val="24"/>
          <w:highlight w:val="none"/>
        </w:rPr>
        <w:t>。</w:t>
      </w:r>
    </w:p>
    <w:p w14:paraId="3A0350C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color w:val="000000"/>
          <w:kern w:val="0"/>
          <w:sz w:val="24"/>
          <w:lang w:val="en-US" w:eastAsia="zh-CN"/>
        </w:rPr>
      </w:pPr>
      <w:r>
        <w:rPr>
          <w:rFonts w:hint="default" w:ascii="宋体" w:hAnsi="宋体" w:cs="宋体"/>
          <w:b/>
          <w:color w:val="000000" w:themeColor="text1"/>
          <w:kern w:val="0"/>
          <w:sz w:val="24"/>
          <w:lang w:eastAsia="zh-CN"/>
          <w14:textFill>
            <w14:solidFill>
              <w14:schemeClr w14:val="tx1"/>
            </w14:solidFill>
          </w14:textFill>
        </w:rPr>
        <w:t>履约保证金</w:t>
      </w:r>
      <w:r>
        <w:rPr>
          <w:rFonts w:hint="eastAsia" w:ascii="宋体" w:hAnsi="宋体" w:cs="宋体"/>
          <w:b/>
          <w:color w:val="000000" w:themeColor="text1"/>
          <w:kern w:val="0"/>
          <w:sz w:val="24"/>
          <w:lang w:val="en-US" w:eastAsia="zh-CN"/>
          <w14:textFill>
            <w14:solidFill>
              <w14:schemeClr w14:val="tx1"/>
            </w14:solidFill>
          </w14:textFill>
        </w:rPr>
        <w:t>收款</w:t>
      </w:r>
      <w:r>
        <w:rPr>
          <w:rFonts w:hint="default" w:ascii="宋体" w:hAnsi="宋体" w:cs="宋体"/>
          <w:b/>
          <w:color w:val="000000" w:themeColor="text1"/>
          <w:kern w:val="0"/>
          <w:sz w:val="24"/>
          <w:lang w:eastAsia="zh-CN"/>
          <w14:textFill>
            <w14:solidFill>
              <w14:schemeClr w14:val="tx1"/>
            </w14:solidFill>
          </w14:textFill>
        </w:rPr>
        <w:t>账户</w:t>
      </w:r>
      <w:r>
        <w:rPr>
          <w:rFonts w:hint="eastAsia" w:ascii="宋体" w:hAnsi="宋体" w:cs="宋体"/>
          <w:color w:val="000000"/>
          <w:kern w:val="0"/>
          <w:sz w:val="24"/>
          <w:lang w:val="en-US" w:eastAsia="zh-CN"/>
        </w:rPr>
        <w:t>（</w:t>
      </w:r>
      <w:r>
        <w:rPr>
          <w:rFonts w:hint="default" w:ascii="宋体" w:hAnsi="宋体" w:eastAsia="宋体" w:cs="宋体"/>
          <w:color w:val="000000"/>
          <w:kern w:val="0"/>
          <w:sz w:val="24"/>
          <w:lang w:val="en-US" w:eastAsia="zh-CN"/>
        </w:rPr>
        <w:t>户名：</w:t>
      </w:r>
      <w:r>
        <w:rPr>
          <w:rFonts w:hint="eastAsia" w:ascii="宋体" w:hAnsi="宋体" w:eastAsia="宋体" w:cs="宋体"/>
          <w:color w:val="000000"/>
          <w:kern w:val="0"/>
          <w:sz w:val="24"/>
          <w:lang w:val="en-US" w:eastAsia="zh-CN"/>
        </w:rPr>
        <w:t>浙江瑞盛智选商业管理有限公司</w:t>
      </w:r>
      <w:r>
        <w:rPr>
          <w:rFonts w:hint="default" w:ascii="宋体" w:hAnsi="宋体" w:eastAsia="宋体" w:cs="宋体"/>
          <w:color w:val="000000"/>
          <w:kern w:val="0"/>
          <w:sz w:val="24"/>
          <w:lang w:val="en-US" w:eastAsia="zh-CN"/>
        </w:rPr>
        <w:t>；开户银行：</w:t>
      </w:r>
      <w:r>
        <w:rPr>
          <w:rFonts w:hint="eastAsia" w:ascii="宋体" w:hAnsi="宋体" w:eastAsia="宋体" w:cs="宋体"/>
          <w:color w:val="000000"/>
          <w:kern w:val="0"/>
          <w:sz w:val="24"/>
          <w:lang w:val="en-US" w:eastAsia="zh-CN"/>
        </w:rPr>
        <w:t>中国银行宁波港隆支行</w:t>
      </w:r>
      <w:r>
        <w:rPr>
          <w:rFonts w:hint="default" w:ascii="宋体" w:hAnsi="宋体" w:eastAsia="宋体" w:cs="宋体"/>
          <w:color w:val="000000"/>
          <w:kern w:val="0"/>
          <w:sz w:val="24"/>
          <w:lang w:val="en-US" w:eastAsia="zh-CN"/>
        </w:rPr>
        <w:t>；账号：</w:t>
      </w:r>
      <w:r>
        <w:rPr>
          <w:rFonts w:hint="eastAsia" w:ascii="宋体" w:hAnsi="宋体" w:eastAsia="宋体" w:cs="宋体"/>
          <w:color w:val="000000"/>
          <w:kern w:val="0"/>
          <w:sz w:val="24"/>
          <w:lang w:val="en-US" w:eastAsia="zh-CN"/>
        </w:rPr>
        <w:t>398787094409</w:t>
      </w:r>
      <w:r>
        <w:rPr>
          <w:rFonts w:hint="default" w:ascii="宋体" w:hAnsi="宋体" w:eastAsia="宋体" w:cs="宋体"/>
          <w:color w:val="000000"/>
          <w:kern w:val="0"/>
          <w:sz w:val="24"/>
          <w:lang w:val="en-US" w:eastAsia="zh-CN"/>
        </w:rPr>
        <w:t>）。</w:t>
      </w:r>
    </w:p>
    <w:p w14:paraId="01F2FC6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textAlignment w:val="auto"/>
        <w:rPr>
          <w:rFonts w:ascii="宋体" w:hAnsi="宋体"/>
          <w:color w:val="000000" w:themeColor="text1"/>
          <w:sz w:val="24"/>
          <w14:textFill>
            <w14:solidFill>
              <w14:schemeClr w14:val="tx1"/>
            </w14:solidFill>
          </w14:textFill>
        </w:rPr>
      </w:pPr>
      <w:r>
        <w:rPr>
          <w:rFonts w:hint="eastAsia" w:cs="宋体"/>
          <w:b/>
          <w:color w:val="000000" w:themeColor="text1"/>
          <w:kern w:val="0"/>
          <w:sz w:val="24"/>
          <w:szCs w:val="24"/>
          <w:lang w:val="en-US" w:eastAsia="zh-CN" w:bidi="ar-SA"/>
          <w14:textFill>
            <w14:solidFill>
              <w14:schemeClr w14:val="tx1"/>
            </w14:solidFill>
          </w14:textFill>
        </w:rPr>
        <w:t>租金和</w:t>
      </w:r>
      <w:r>
        <w:rPr>
          <w:rFonts w:hint="eastAsia" w:ascii="宋体" w:hAnsi="宋体" w:eastAsia="宋体" w:cs="宋体"/>
          <w:b/>
          <w:color w:val="000000" w:themeColor="text1"/>
          <w:kern w:val="0"/>
          <w:sz w:val="24"/>
          <w:szCs w:val="24"/>
          <w:lang w:val="en-US" w:eastAsia="zh-CN" w:bidi="ar-SA"/>
          <w14:textFill>
            <w14:solidFill>
              <w14:schemeClr w14:val="tx1"/>
            </w14:solidFill>
          </w14:textFill>
        </w:rPr>
        <w:t>买受佣金</w:t>
      </w:r>
      <w:r>
        <w:rPr>
          <w:rFonts w:hint="eastAsia" w:cs="宋体"/>
          <w:b/>
          <w:color w:val="000000" w:themeColor="text1"/>
          <w:kern w:val="0"/>
          <w:sz w:val="24"/>
          <w:szCs w:val="24"/>
          <w:lang w:val="en-US" w:eastAsia="zh-CN" w:bidi="ar-SA"/>
          <w14:textFill>
            <w14:solidFill>
              <w14:schemeClr w14:val="tx1"/>
            </w14:solidFill>
          </w14:textFill>
        </w:rPr>
        <w:t>收款</w:t>
      </w:r>
      <w:r>
        <w:rPr>
          <w:rFonts w:hint="eastAsia" w:ascii="宋体" w:hAnsi="宋体" w:eastAsia="宋体" w:cs="宋体"/>
          <w:b/>
          <w:color w:val="000000" w:themeColor="text1"/>
          <w:kern w:val="0"/>
          <w:sz w:val="24"/>
          <w:szCs w:val="24"/>
          <w:lang w:val="en-US" w:eastAsia="zh-CN" w:bidi="ar-SA"/>
          <w14:textFill>
            <w14:solidFill>
              <w14:schemeClr w14:val="tx1"/>
            </w14:solidFill>
          </w14:textFill>
        </w:rPr>
        <w:t>账户</w:t>
      </w:r>
      <w:r>
        <w:rPr>
          <w:rFonts w:hint="eastAsia" w:ascii="宋体" w:hAnsi="宋体" w:eastAsia="宋体" w:cs="宋体"/>
          <w:color w:val="000000"/>
          <w:kern w:val="0"/>
          <w:sz w:val="24"/>
          <w:szCs w:val="24"/>
          <w:lang w:val="en-US" w:eastAsia="zh-CN" w:bidi="ar-SA"/>
        </w:rPr>
        <w:t>（户名：宁波阳明拍卖有限公司，开户行：</w:t>
      </w:r>
      <w:r>
        <w:rPr>
          <w:rFonts w:hint="eastAsia"/>
          <w:color w:val="000000" w:themeColor="text1"/>
          <w:sz w:val="24"/>
          <w:lang w:val="en-US" w:eastAsia="zh-CN"/>
          <w14:textFill>
            <w14:solidFill>
              <w14:schemeClr w14:val="tx1"/>
            </w14:solidFill>
          </w14:textFill>
        </w:rPr>
        <w:t>中信</w:t>
      </w:r>
      <w:r>
        <w:rPr>
          <w:rFonts w:hint="eastAsia"/>
          <w:color w:val="000000" w:themeColor="text1"/>
          <w:sz w:val="24"/>
          <w14:textFill>
            <w14:solidFill>
              <w14:schemeClr w14:val="tx1"/>
            </w14:solidFill>
          </w14:textFill>
        </w:rPr>
        <w:t>银行余姚</w:t>
      </w:r>
      <w:r>
        <w:rPr>
          <w:rFonts w:hint="eastAsia"/>
          <w:color w:val="000000" w:themeColor="text1"/>
          <w:sz w:val="24"/>
          <w:lang w:val="en-US" w:eastAsia="zh-CN"/>
          <w14:textFill>
            <w14:solidFill>
              <w14:schemeClr w14:val="tx1"/>
            </w14:solidFill>
          </w14:textFill>
        </w:rPr>
        <w:t>支</w:t>
      </w:r>
      <w:r>
        <w:rPr>
          <w:rFonts w:hint="eastAsia"/>
          <w:color w:val="000000" w:themeColor="text1"/>
          <w:sz w:val="24"/>
          <w14:textFill>
            <w14:solidFill>
              <w14:schemeClr w14:val="tx1"/>
            </w14:solidFill>
          </w14:textFill>
        </w:rPr>
        <w:t>行，账</w:t>
      </w:r>
      <w:r>
        <w:rPr>
          <w:rFonts w:hint="eastAsia" w:cs="Times New Roman"/>
          <w:color w:val="000000" w:themeColor="text1"/>
          <w:sz w:val="24"/>
          <w14:textFill>
            <w14:solidFill>
              <w14:schemeClr w14:val="tx1"/>
            </w14:solidFill>
          </w14:textFill>
        </w:rPr>
        <w:t>号：</w:t>
      </w:r>
      <w:r>
        <w:rPr>
          <w:rFonts w:hint="eastAsia" w:cs="Times New Roman"/>
          <w:color w:val="000000" w:themeColor="text1"/>
          <w:sz w:val="24"/>
          <w:lang w:val="en-US" w:eastAsia="zh-CN"/>
          <w14:textFill>
            <w14:solidFill>
              <w14:schemeClr w14:val="tx1"/>
            </w14:solidFill>
          </w14:textFill>
        </w:rPr>
        <w:t>8114701084445008888</w:t>
      </w:r>
      <w:r>
        <w:rPr>
          <w:rFonts w:hint="eastAsia" w:cs="Times New Roman"/>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p>
    <w:bookmarkEnd w:id="2"/>
    <w:p w14:paraId="4265C068">
      <w:pPr>
        <w:keepNext w:val="0"/>
        <w:keepLines w:val="0"/>
        <w:pageBreakBefore w:val="0"/>
        <w:widowControl w:val="0"/>
        <w:kinsoku/>
        <w:wordWrap/>
        <w:overflowPunct/>
        <w:topLinePunct w:val="0"/>
        <w:autoSpaceDE/>
        <w:autoSpaceDN/>
        <w:bidi w:val="0"/>
        <w:adjustRightInd/>
        <w:snapToGrid/>
        <w:spacing w:line="480" w:lineRule="exact"/>
        <w:ind w:firstLine="472" w:firstLineChars="197"/>
        <w:textAlignment w:val="auto"/>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拍卖人</w:t>
      </w:r>
      <w:r>
        <w:rPr>
          <w:rFonts w:ascii="宋体" w:hAnsi="宋体" w:cs="宋体"/>
          <w:color w:val="000000"/>
          <w:kern w:val="0"/>
          <w:sz w:val="24"/>
          <w:highlight w:val="none"/>
        </w:rPr>
        <w:t>出具买受佣金发票</w:t>
      </w:r>
      <w:r>
        <w:rPr>
          <w:rFonts w:hint="eastAsia" w:ascii="宋体" w:hAnsi="宋体" w:cs="宋体"/>
          <w:color w:val="000000"/>
          <w:kern w:val="0"/>
          <w:sz w:val="24"/>
          <w:highlight w:val="none"/>
          <w:lang w:eastAsia="zh-CN"/>
        </w:rPr>
        <w:t>和租金成交款收据</w:t>
      </w:r>
      <w:r>
        <w:rPr>
          <w:rFonts w:ascii="宋体" w:hAnsi="宋体" w:cs="宋体"/>
          <w:color w:val="000000"/>
          <w:kern w:val="0"/>
          <w:sz w:val="24"/>
          <w:highlight w:val="none"/>
        </w:rPr>
        <w:t>，</w:t>
      </w:r>
      <w:r>
        <w:rPr>
          <w:rFonts w:hint="eastAsia" w:ascii="宋体" w:hAnsi="宋体" w:cs="宋体"/>
          <w:color w:val="000000"/>
          <w:kern w:val="0"/>
          <w:sz w:val="24"/>
          <w:highlight w:val="none"/>
          <w:lang w:eastAsia="zh-CN"/>
        </w:rPr>
        <w:t>其他相关票据由</w:t>
      </w:r>
      <w:r>
        <w:rPr>
          <w:rFonts w:hint="eastAsia" w:ascii="宋体" w:hAnsi="宋体" w:cs="宋体"/>
          <w:color w:val="000000"/>
          <w:kern w:val="0"/>
          <w:sz w:val="24"/>
          <w:highlight w:val="none"/>
          <w:lang w:val="en-US" w:eastAsia="zh-CN"/>
        </w:rPr>
        <w:t>委托人出具</w:t>
      </w:r>
      <w:r>
        <w:rPr>
          <w:rFonts w:hint="eastAsia" w:ascii="宋体" w:hAnsi="宋体" w:eastAsia="宋体" w:cs="宋体"/>
          <w:color w:val="000000"/>
          <w:kern w:val="0"/>
          <w:sz w:val="24"/>
          <w:highlight w:val="none"/>
        </w:rPr>
        <w:t>。</w:t>
      </w:r>
    </w:p>
    <w:p w14:paraId="0EFC6137">
      <w:pPr>
        <w:keepNext w:val="0"/>
        <w:keepLines w:val="0"/>
        <w:pageBreakBefore w:val="0"/>
        <w:widowControl w:val="0"/>
        <w:kinsoku/>
        <w:wordWrap/>
        <w:overflowPunct/>
        <w:topLinePunct w:val="0"/>
        <w:autoSpaceDE/>
        <w:autoSpaceDN/>
        <w:bidi w:val="0"/>
        <w:adjustRightInd/>
        <w:snapToGrid/>
        <w:spacing w:line="480" w:lineRule="exact"/>
        <w:ind w:firstLine="475" w:firstLineChars="197"/>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第十三条</w:t>
      </w:r>
      <w:r>
        <w:rPr>
          <w:rFonts w:hint="eastAsia" w:ascii="宋体" w:hAnsi="宋体"/>
          <w:b/>
          <w:color w:val="000000" w:themeColor="text1"/>
          <w:sz w:val="24"/>
          <w:highlight w:val="none"/>
          <w:lang w:val="en-US" w:eastAsia="zh-CN"/>
          <w14:textFill>
            <w14:solidFill>
              <w14:schemeClr w14:val="tx1"/>
            </w14:solidFill>
          </w14:textFill>
        </w:rPr>
        <w:t xml:space="preserve">  违约责任：</w:t>
      </w:r>
      <w:r>
        <w:rPr>
          <w:rFonts w:hint="eastAsia" w:ascii="宋体" w:hAnsi="宋体"/>
          <w:b/>
          <w:color w:val="000000" w:themeColor="text1"/>
          <w:sz w:val="24"/>
          <w:highlight w:val="none"/>
          <w14:textFill>
            <w14:solidFill>
              <w14:schemeClr w14:val="tx1"/>
            </w14:solidFill>
          </w14:textFill>
        </w:rPr>
        <w:t>因买受人存在未按约定签订《拍卖成交确认</w:t>
      </w:r>
      <w:r>
        <w:rPr>
          <w:rFonts w:hint="eastAsia" w:ascii="宋体" w:hAnsi="宋体"/>
          <w:b/>
          <w:color w:val="000000" w:themeColor="text1"/>
          <w:sz w:val="24"/>
          <w14:textFill>
            <w14:solidFill>
              <w14:schemeClr w14:val="tx1"/>
            </w14:solidFill>
          </w14:textFill>
        </w:rPr>
        <w:t>书》等拍卖文件或《</w:t>
      </w:r>
      <w:r>
        <w:rPr>
          <w:rFonts w:hint="eastAsia" w:ascii="宋体" w:hAnsi="宋体"/>
          <w:b/>
          <w:color w:val="000000" w:themeColor="text1"/>
          <w:sz w:val="24"/>
          <w:lang w:eastAsia="zh-CN"/>
          <w14:textFill>
            <w14:solidFill>
              <w14:schemeClr w14:val="tx1"/>
            </w14:solidFill>
          </w14:textFill>
        </w:rPr>
        <w:t>房屋</w:t>
      </w:r>
      <w:r>
        <w:rPr>
          <w:rFonts w:hint="eastAsia" w:ascii="宋体" w:hAnsi="宋体"/>
          <w:b/>
          <w:color w:val="000000" w:themeColor="text1"/>
          <w:sz w:val="24"/>
          <w14:textFill>
            <w14:solidFill>
              <w14:schemeClr w14:val="tx1"/>
            </w14:solidFill>
          </w14:textFill>
        </w:rPr>
        <w:t>租赁合同》、或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199F456B">
      <w:pPr>
        <w:keepNext w:val="0"/>
        <w:keepLines w:val="0"/>
        <w:pageBreakBefore w:val="0"/>
        <w:widowControl w:val="0"/>
        <w:kinsoku/>
        <w:wordWrap/>
        <w:overflowPunct/>
        <w:topLinePunct w:val="0"/>
        <w:autoSpaceDE/>
        <w:autoSpaceDN/>
        <w:bidi w:val="0"/>
        <w:adjustRightInd/>
        <w:snapToGrid/>
        <w:spacing w:line="480" w:lineRule="exact"/>
        <w:ind w:firstLine="472" w:firstLineChars="197"/>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《拍卖法》第三十九条：买受人应当按照约定支付拍卖标的的价款，未按照约定支付价款的，应当承担违约责任，或者由拍卖人征得委托人的同意，将拍卖标的再行拍卖。</w:t>
      </w:r>
    </w:p>
    <w:p w14:paraId="0361174F">
      <w:pPr>
        <w:keepNext w:val="0"/>
        <w:keepLines w:val="0"/>
        <w:pageBreakBefore w:val="0"/>
        <w:widowControl w:val="0"/>
        <w:kinsoku/>
        <w:wordWrap/>
        <w:overflowPunct/>
        <w:topLinePunct w:val="0"/>
        <w:autoSpaceDE/>
        <w:autoSpaceDN/>
        <w:bidi w:val="0"/>
        <w:adjustRightInd/>
        <w:snapToGrid/>
        <w:spacing w:line="480" w:lineRule="exact"/>
        <w:ind w:firstLine="472" w:firstLineChars="197"/>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拍卖标的再行拍卖的，原买受人应当支付第一次拍卖中本人及委托人应当支付的佣金。再行拍卖的价款低于原拍卖价款的，原买受人应当补足差额。</w:t>
      </w:r>
    </w:p>
    <w:p w14:paraId="078B6244">
      <w:pPr>
        <w:keepNext w:val="0"/>
        <w:keepLines w:val="0"/>
        <w:pageBreakBefore w:val="0"/>
        <w:widowControl w:val="0"/>
        <w:kinsoku/>
        <w:wordWrap/>
        <w:overflowPunct/>
        <w:topLinePunct w:val="0"/>
        <w:autoSpaceDE/>
        <w:autoSpaceDN/>
        <w:bidi w:val="0"/>
        <w:adjustRightInd/>
        <w:snapToGrid/>
        <w:spacing w:line="480" w:lineRule="exact"/>
        <w:ind w:firstLine="475" w:firstLineChars="197"/>
        <w:textAlignment w:val="auto"/>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w:t>
      </w:r>
      <w:r>
        <w:rPr>
          <w:rFonts w:hint="eastAsia" w:ascii="宋体" w:hAnsi="宋体"/>
          <w:b/>
          <w:color w:val="000000" w:themeColor="text1"/>
          <w:sz w:val="24"/>
          <w:lang w:eastAsia="zh-CN"/>
          <w14:textFill>
            <w14:solidFill>
              <w14:schemeClr w14:val="tx1"/>
            </w14:solidFill>
          </w14:textFill>
        </w:rPr>
        <w:t>四</w:t>
      </w:r>
      <w:r>
        <w:rPr>
          <w:rFonts w:hint="eastAsia" w:ascii="宋体" w:hAnsi="宋体"/>
          <w:b/>
          <w:color w:val="000000" w:themeColor="text1"/>
          <w:sz w:val="24"/>
          <w14:textFill>
            <w14:solidFill>
              <w14:schemeClr w14:val="tx1"/>
            </w14:solidFill>
          </w14:textFill>
        </w:rPr>
        <w:t>条  标的物交付：</w:t>
      </w:r>
      <w:r>
        <w:rPr>
          <w:rFonts w:hint="eastAsia" w:ascii="宋体" w:hAnsi="宋体"/>
          <w:color w:val="000000" w:themeColor="text1"/>
          <w:sz w:val="24"/>
          <w14:textFill>
            <w14:solidFill>
              <w14:schemeClr w14:val="tx1"/>
            </w14:solidFill>
          </w14:textFill>
        </w:rPr>
        <w:t>签订《</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租赁合同》后由委托人交付标的物</w:t>
      </w:r>
      <w:r>
        <w:rPr>
          <w:rFonts w:hint="eastAsia" w:ascii="宋体" w:hAnsi="宋体"/>
          <w:color w:val="000000" w:themeColor="text1"/>
          <w:sz w:val="24"/>
          <w:lang w:val="en-US" w:eastAsia="zh-CN"/>
          <w14:textFill>
            <w14:solidFill>
              <w14:schemeClr w14:val="tx1"/>
            </w14:solidFill>
          </w14:textFill>
        </w:rPr>
        <w:t>于</w:t>
      </w:r>
      <w:r>
        <w:rPr>
          <w:rFonts w:hint="eastAsia" w:ascii="宋体" w:hAnsi="宋体"/>
          <w:color w:val="000000" w:themeColor="text1"/>
          <w:sz w:val="24"/>
          <w14:textFill>
            <w14:solidFill>
              <w14:schemeClr w14:val="tx1"/>
            </w14:solidFill>
          </w14:textFill>
        </w:rPr>
        <w:t>买受人</w:t>
      </w:r>
      <w:r>
        <w:rPr>
          <w:rFonts w:hint="eastAsia" w:ascii="宋体" w:hAnsi="宋体"/>
          <w:bCs/>
          <w:color w:val="000000" w:themeColor="text1"/>
          <w:sz w:val="24"/>
          <w14:textFill>
            <w14:solidFill>
              <w14:schemeClr w14:val="tx1"/>
            </w14:solidFill>
          </w14:textFill>
        </w:rPr>
        <w:t>。</w:t>
      </w:r>
    </w:p>
    <w:p w14:paraId="3F6E106C">
      <w:pPr>
        <w:keepNext w:val="0"/>
        <w:keepLines w:val="0"/>
        <w:pageBreakBefore w:val="0"/>
        <w:widowControl w:val="0"/>
        <w:kinsoku/>
        <w:wordWrap/>
        <w:overflowPunct/>
        <w:topLinePunct w:val="0"/>
        <w:autoSpaceDE/>
        <w:autoSpaceDN/>
        <w:bidi w:val="0"/>
        <w:adjustRightInd/>
        <w:snapToGrid/>
        <w:spacing w:line="480" w:lineRule="exact"/>
        <w:ind w:firstLine="475" w:firstLineChars="197"/>
        <w:textAlignment w:val="auto"/>
        <w:rPr>
          <w:rFonts w:hint="eastAsia" w:ascii="宋体" w:hAnsi="宋体" w:cs="宋体"/>
          <w:color w:val="000000"/>
          <w:kern w:val="0"/>
          <w:sz w:val="24"/>
        </w:rPr>
      </w:pPr>
      <w:r>
        <w:rPr>
          <w:rFonts w:hint="eastAsia" w:ascii="宋体" w:hAnsi="宋体"/>
          <w:b/>
          <w:color w:val="000000" w:themeColor="text1"/>
          <w:sz w:val="24"/>
          <w14:textFill>
            <w14:solidFill>
              <w14:schemeClr w14:val="tx1"/>
            </w14:solidFill>
          </w14:textFill>
        </w:rPr>
        <w:t>第十</w:t>
      </w:r>
      <w:r>
        <w:rPr>
          <w:rFonts w:hint="eastAsia" w:ascii="宋体" w:hAnsi="宋体"/>
          <w:b/>
          <w:color w:val="000000" w:themeColor="text1"/>
          <w:sz w:val="24"/>
          <w:lang w:eastAsia="zh-CN"/>
          <w14:textFill>
            <w14:solidFill>
              <w14:schemeClr w14:val="tx1"/>
            </w14:solidFill>
          </w14:textFill>
        </w:rPr>
        <w:t>五</w:t>
      </w:r>
      <w:r>
        <w:rPr>
          <w:rFonts w:hint="eastAsia" w:ascii="宋体" w:hAnsi="宋体"/>
          <w:b/>
          <w:color w:val="000000" w:themeColor="text1"/>
          <w:sz w:val="24"/>
          <w14:textFill>
            <w14:solidFill>
              <w14:schemeClr w14:val="tx1"/>
            </w14:solidFill>
          </w14:textFill>
        </w:rPr>
        <w:t>条  拍卖</w:t>
      </w:r>
      <w:r>
        <w:rPr>
          <w:rFonts w:hint="eastAsia" w:ascii="宋体" w:hAnsi="宋体" w:cs="宋体"/>
          <w:b/>
          <w:bCs/>
          <w:color w:val="000000" w:themeColor="text1"/>
          <w:kern w:val="0"/>
          <w:sz w:val="24"/>
          <w14:textFill>
            <w14:solidFill>
              <w14:schemeClr w14:val="tx1"/>
            </w14:solidFill>
          </w14:textFill>
        </w:rPr>
        <w:t>结果公告：</w:t>
      </w:r>
      <w:r>
        <w:rPr>
          <w:rFonts w:hint="eastAsia" w:ascii="宋体" w:hAnsi="宋体"/>
          <w:sz w:val="24"/>
        </w:rPr>
        <w:t>《</w:t>
      </w:r>
      <w:r>
        <w:rPr>
          <w:rFonts w:hint="eastAsia" w:ascii="宋体" w:hAnsi="宋体"/>
          <w:sz w:val="24"/>
          <w:lang w:eastAsia="zh-CN"/>
        </w:rPr>
        <w:t>房屋租赁合同</w:t>
      </w:r>
      <w:r>
        <w:rPr>
          <w:rFonts w:hint="eastAsia" w:ascii="宋体" w:hAnsi="宋体"/>
          <w:sz w:val="24"/>
        </w:rPr>
        <w:t>》</w:t>
      </w:r>
      <w:r>
        <w:rPr>
          <w:rFonts w:hint="eastAsia" w:ascii="宋体" w:hAnsi="宋体" w:cs="宋体"/>
          <w:color w:val="000000"/>
          <w:kern w:val="0"/>
          <w:sz w:val="24"/>
        </w:rPr>
        <w:t>生效后的2个工作日内，由</w:t>
      </w:r>
      <w:r>
        <w:rPr>
          <w:rFonts w:hint="eastAsia" w:ascii="宋体" w:hAnsi="宋体" w:cs="宋体"/>
          <w:color w:val="000000"/>
          <w:kern w:val="0"/>
          <w:sz w:val="24"/>
          <w:lang w:val="en-US" w:eastAsia="zh-CN"/>
        </w:rPr>
        <w:t>拍卖人</w:t>
      </w:r>
      <w:r>
        <w:rPr>
          <w:rFonts w:hint="eastAsia" w:ascii="宋体" w:hAnsi="宋体" w:cs="宋体"/>
          <w:color w:val="000000"/>
          <w:kern w:val="0"/>
          <w:sz w:val="24"/>
        </w:rPr>
        <w:t>将交易结</w:t>
      </w:r>
      <w:r>
        <w:rPr>
          <w:rFonts w:hint="eastAsia" w:ascii="宋体" w:hAnsi="宋体" w:cs="Times New Roman"/>
          <w:sz w:val="24"/>
          <w:lang w:eastAsia="zh-CN"/>
        </w:rPr>
        <w:t>果在</w:t>
      </w:r>
      <w:r>
        <w:rPr>
          <w:rFonts w:hint="eastAsia" w:ascii="宋体" w:hAnsi="宋体" w:cs="Times New Roman"/>
          <w:sz w:val="24"/>
          <w:lang w:val="en-US" w:eastAsia="zh-CN"/>
        </w:rPr>
        <w:t>宁波阳明拍卖有限公司网站</w:t>
      </w:r>
      <w:r>
        <w:rPr>
          <w:rFonts w:hint="eastAsia" w:ascii="宋体" w:hAnsi="宋体" w:cs="Times New Roman"/>
          <w:sz w:val="24"/>
          <w:lang w:eastAsia="zh-CN"/>
        </w:rPr>
        <w:t>公</w:t>
      </w:r>
      <w:r>
        <w:rPr>
          <w:rFonts w:hint="eastAsia" w:ascii="宋体" w:hAnsi="宋体" w:cs="宋体"/>
          <w:color w:val="000000"/>
          <w:kern w:val="0"/>
          <w:sz w:val="24"/>
        </w:rPr>
        <w:t>告5个工作日。</w:t>
      </w:r>
    </w:p>
    <w:p w14:paraId="6CA1D6C9">
      <w:pPr>
        <w:keepNext w:val="0"/>
        <w:keepLines w:val="0"/>
        <w:pageBreakBefore w:val="0"/>
        <w:widowControl w:val="0"/>
        <w:kinsoku/>
        <w:wordWrap/>
        <w:overflowPunct/>
        <w:topLinePunct w:val="0"/>
        <w:autoSpaceDE/>
        <w:autoSpaceDN/>
        <w:bidi w:val="0"/>
        <w:adjustRightInd/>
        <w:snapToGrid/>
        <w:spacing w:line="480" w:lineRule="exact"/>
        <w:ind w:firstLine="475" w:firstLineChars="197"/>
        <w:textAlignment w:val="auto"/>
        <w:rPr>
          <w:rFonts w:ascii="宋体" w:hAnsi="宋体" w:cs="宋体"/>
          <w:color w:val="000000" w:themeColor="text1"/>
          <w:kern w:val="0"/>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第十</w:t>
      </w:r>
      <w:r>
        <w:rPr>
          <w:rFonts w:hint="eastAsia" w:ascii="宋体" w:hAnsi="宋体" w:cs="宋体"/>
          <w:b/>
          <w:bCs/>
          <w:color w:val="000000" w:themeColor="text1"/>
          <w:kern w:val="0"/>
          <w:sz w:val="24"/>
          <w:lang w:eastAsia="zh-CN"/>
          <w14:textFill>
            <w14:solidFill>
              <w14:schemeClr w14:val="tx1"/>
            </w14:solidFill>
          </w14:textFill>
        </w:rPr>
        <w:t>六</w:t>
      </w:r>
      <w:r>
        <w:rPr>
          <w:rFonts w:ascii="宋体" w:hAnsi="宋体" w:cs="宋体"/>
          <w:b/>
          <w:bCs/>
          <w:color w:val="000000" w:themeColor="text1"/>
          <w:kern w:val="0"/>
          <w:sz w:val="24"/>
          <w14:textFill>
            <w14:solidFill>
              <w14:schemeClr w14:val="tx1"/>
            </w14:solidFill>
          </w14:textFill>
        </w:rPr>
        <w:t>条</w:t>
      </w:r>
      <w:r>
        <w:rPr>
          <w:rFonts w:hint="eastAsia" w:ascii="宋体" w:hAnsi="宋体" w:cs="宋体"/>
          <w:b/>
          <w:bCs/>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买受人存在提供虚假文件、隐瞒事实、恶意串通等违反拍卖原则行为的，委托人和拍卖人有权取消其买受人资格，撤销《拍卖成交确认书》，解除《</w:t>
      </w:r>
      <w:r>
        <w:rPr>
          <w:rFonts w:hint="eastAsia" w:ascii="宋体" w:hAnsi="宋体" w:cs="宋体"/>
          <w:color w:val="000000" w:themeColor="text1"/>
          <w:kern w:val="0"/>
          <w:sz w:val="24"/>
          <w:lang w:eastAsia="zh-CN"/>
          <w14:textFill>
            <w14:solidFill>
              <w14:schemeClr w14:val="tx1"/>
            </w14:solidFill>
          </w14:textFill>
        </w:rPr>
        <w:t>房屋</w:t>
      </w:r>
      <w:r>
        <w:rPr>
          <w:rFonts w:hint="eastAsia" w:ascii="宋体" w:hAnsi="宋体" w:cs="宋体"/>
          <w:color w:val="000000" w:themeColor="text1"/>
          <w:kern w:val="0"/>
          <w:sz w:val="24"/>
          <w14:textFill>
            <w14:solidFill>
              <w14:schemeClr w14:val="tx1"/>
            </w14:solidFill>
          </w14:textFill>
        </w:rPr>
        <w:t>租赁合同》，造成的损失由买受人赔偿。</w:t>
      </w:r>
    </w:p>
    <w:p w14:paraId="51AABFF4">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 则</w:t>
      </w:r>
    </w:p>
    <w:p w14:paraId="023B7D27">
      <w:pPr>
        <w:keepNext w:val="0"/>
        <w:keepLines w:val="0"/>
        <w:pageBreakBefore w:val="0"/>
        <w:widowControl w:val="0"/>
        <w:kinsoku/>
        <w:wordWrap/>
        <w:overflowPunct/>
        <w:topLinePunct w:val="0"/>
        <w:autoSpaceDE/>
        <w:autoSpaceDN/>
        <w:bidi w:val="0"/>
        <w:adjustRightInd/>
        <w:snapToGrid/>
        <w:spacing w:line="480" w:lineRule="exact"/>
        <w:ind w:firstLine="470" w:firstLineChars="195"/>
        <w:textAlignment w:val="auto"/>
        <w:rPr>
          <w:rFonts w:ascii="宋体" w:hAnsi="宋体" w:cs="宋体"/>
          <w:color w:val="000000" w:themeColor="text1"/>
          <w:kern w:val="0"/>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第十</w:t>
      </w:r>
      <w:r>
        <w:rPr>
          <w:rFonts w:hint="eastAsia" w:ascii="宋体" w:hAnsi="宋体" w:cs="宋体"/>
          <w:b/>
          <w:bCs/>
          <w:color w:val="000000" w:themeColor="text1"/>
          <w:kern w:val="0"/>
          <w:sz w:val="24"/>
          <w:lang w:eastAsia="zh-CN"/>
          <w14:textFill>
            <w14:solidFill>
              <w14:schemeClr w14:val="tx1"/>
            </w14:solidFill>
          </w14:textFill>
        </w:rPr>
        <w:t>七</w:t>
      </w:r>
      <w:r>
        <w:rPr>
          <w:rFonts w:ascii="宋体" w:hAnsi="宋体" w:cs="宋体"/>
          <w:b/>
          <w:bCs/>
          <w:color w:val="000000" w:themeColor="text1"/>
          <w:kern w:val="0"/>
          <w:sz w:val="24"/>
          <w14:textFill>
            <w14:solidFill>
              <w14:schemeClr w14:val="tx1"/>
            </w14:solidFill>
          </w14:textFill>
        </w:rPr>
        <w:t>条</w:t>
      </w:r>
      <w:r>
        <w:rPr>
          <w:rFonts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ascii="宋体" w:hAnsi="宋体" w:cs="宋体"/>
          <w:color w:val="000000" w:themeColor="text1"/>
          <w:kern w:val="0"/>
          <w:sz w:val="24"/>
          <w14:textFill>
            <w14:solidFill>
              <w14:schemeClr w14:val="tx1"/>
            </w14:solidFill>
          </w14:textFill>
        </w:rPr>
        <w:t>对竞买人或买受人的通知或催告事宜，以其报名时所登记的联系电话为通讯方式，若该项不作记载，则以其身份证所载的住所为通讯地址。因无法联系或无法送达而产生的后果，由当事人自行承担，与</w:t>
      </w:r>
      <w:r>
        <w:rPr>
          <w:rFonts w:hint="eastAsia" w:ascii="宋体" w:hAnsi="宋体" w:cs="宋体"/>
          <w:color w:val="000000" w:themeColor="text1"/>
          <w:kern w:val="0"/>
          <w:sz w:val="24"/>
          <w14:textFill>
            <w14:solidFill>
              <w14:schemeClr w14:val="tx1"/>
            </w14:solidFill>
          </w14:textFill>
        </w:rPr>
        <w:t>委托人</w:t>
      </w:r>
      <w:r>
        <w:rPr>
          <w:rFonts w:ascii="宋体" w:hAnsi="宋体" w:cs="宋体"/>
          <w:color w:val="000000" w:themeColor="text1"/>
          <w:kern w:val="0"/>
          <w:sz w:val="24"/>
          <w14:textFill>
            <w14:solidFill>
              <w14:schemeClr w14:val="tx1"/>
            </w14:solidFill>
          </w14:textFill>
        </w:rPr>
        <w:t>、拍卖人无涉。</w:t>
      </w:r>
    </w:p>
    <w:p w14:paraId="7B8D3CE5">
      <w:pPr>
        <w:keepNext w:val="0"/>
        <w:keepLines w:val="0"/>
        <w:pageBreakBefore w:val="0"/>
        <w:widowControl w:val="0"/>
        <w:kinsoku/>
        <w:wordWrap/>
        <w:overflowPunct/>
        <w:topLinePunct w:val="0"/>
        <w:autoSpaceDE/>
        <w:autoSpaceDN/>
        <w:bidi w:val="0"/>
        <w:adjustRightInd/>
        <w:snapToGrid/>
        <w:spacing w:line="480" w:lineRule="exact"/>
        <w:ind w:firstLine="470" w:firstLineChars="195"/>
        <w:textAlignment w:val="auto"/>
        <w:rPr>
          <w:rFonts w:hint="eastAsia" w:ascii="宋体" w:hAnsi="宋体" w:eastAsia="宋体" w:cs="宋体"/>
          <w:b w:val="0"/>
          <w:bCs/>
          <w:color w:val="auto"/>
          <w:kern w:val="0"/>
          <w:sz w:val="24"/>
          <w:szCs w:val="24"/>
          <w:highlight w:val="none"/>
          <w:lang w:val="en-US" w:eastAsia="zh-CN"/>
        </w:rPr>
      </w:pPr>
      <w:r>
        <w:rPr>
          <w:rFonts w:ascii="宋体" w:hAnsi="宋体" w:cs="宋体"/>
          <w:b/>
          <w:bCs/>
          <w:color w:val="000000" w:themeColor="text1"/>
          <w:kern w:val="0"/>
          <w:sz w:val="24"/>
          <w14:textFill>
            <w14:solidFill>
              <w14:schemeClr w14:val="tx1"/>
            </w14:solidFill>
          </w14:textFill>
        </w:rPr>
        <w:t>第十</w:t>
      </w:r>
      <w:r>
        <w:rPr>
          <w:rFonts w:hint="eastAsia" w:ascii="宋体" w:hAnsi="宋体" w:cs="宋体"/>
          <w:b/>
          <w:bCs/>
          <w:color w:val="000000" w:themeColor="text1"/>
          <w:kern w:val="0"/>
          <w:sz w:val="24"/>
          <w:lang w:eastAsia="zh-CN"/>
          <w14:textFill>
            <w14:solidFill>
              <w14:schemeClr w14:val="tx1"/>
            </w14:solidFill>
          </w14:textFill>
        </w:rPr>
        <w:t>八</w:t>
      </w:r>
      <w:r>
        <w:rPr>
          <w:rFonts w:ascii="宋体" w:hAnsi="宋体" w:cs="宋体"/>
          <w:b/>
          <w:bCs/>
          <w:color w:val="000000" w:themeColor="text1"/>
          <w:kern w:val="0"/>
          <w:sz w:val="24"/>
          <w14:textFill>
            <w14:solidFill>
              <w14:schemeClr w14:val="tx1"/>
            </w14:solidFill>
          </w14:textFill>
        </w:rPr>
        <w:t>条</w:t>
      </w:r>
      <w:r>
        <w:rPr>
          <w:rFonts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本须知解释权归本次拍卖活动的委托人、拍卖人所有</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 xml:space="preserve"> </w:t>
      </w:r>
    </w:p>
    <w:p w14:paraId="4E304733">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cs="宋体"/>
          <w:b w:val="0"/>
          <w:bCs/>
          <w:color w:val="auto"/>
          <w:kern w:val="0"/>
          <w:sz w:val="24"/>
          <w:szCs w:val="24"/>
          <w:highlight w:val="none"/>
          <w:lang w:val="en-US" w:eastAsia="zh-CN"/>
        </w:rPr>
      </w:pPr>
    </w:p>
    <w:p w14:paraId="71719F2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cs="宋体"/>
          <w:b w:val="0"/>
          <w:bCs/>
          <w:color w:val="auto"/>
          <w:kern w:val="0"/>
          <w:sz w:val="24"/>
          <w:szCs w:val="24"/>
          <w:highlight w:val="none"/>
          <w:lang w:val="en-US" w:eastAsia="zh-CN"/>
        </w:rPr>
        <w:t xml:space="preserve">浙江瑞盛智选商业管理有限公司                       </w:t>
      </w:r>
      <w:r>
        <w:rPr>
          <w:rFonts w:hint="eastAsia" w:ascii="宋体" w:hAnsi="宋体" w:eastAsia="宋体" w:cs="宋体"/>
          <w:color w:val="000000"/>
          <w:kern w:val="2"/>
          <w:sz w:val="24"/>
          <w:szCs w:val="24"/>
          <w:lang w:val="en-US" w:eastAsia="zh-CN" w:bidi="ar-SA"/>
        </w:rPr>
        <w:t>宁波阳明拍卖有限公司</w:t>
      </w:r>
    </w:p>
    <w:p w14:paraId="0DAA364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kern w:val="2"/>
          <w:sz w:val="24"/>
          <w:szCs w:val="24"/>
          <w:lang w:val="en-US" w:eastAsia="zh-CN" w:bidi="ar-SA"/>
        </w:rPr>
        <w:t xml:space="preserve">                                                      2026</w:t>
      </w:r>
      <w:r>
        <w:rPr>
          <w:rFonts w:hint="eastAsia" w:ascii="宋体" w:hAnsi="宋体" w:eastAsia="宋体" w:cs="宋体"/>
          <w:color w:val="000000"/>
          <w:kern w:val="2"/>
          <w:sz w:val="24"/>
          <w:szCs w:val="24"/>
          <w:lang w:val="en-US" w:eastAsia="zh-CN" w:bidi="ar-SA"/>
        </w:rPr>
        <w:t>年</w:t>
      </w:r>
      <w:r>
        <w:rPr>
          <w:rFonts w:hint="eastAsia" w:ascii="宋体" w:hAnsi="宋体" w:cs="宋体"/>
          <w:color w:val="000000"/>
          <w:kern w:val="2"/>
          <w:sz w:val="24"/>
          <w:szCs w:val="24"/>
          <w:lang w:val="en-US" w:eastAsia="zh-CN" w:bidi="ar-SA"/>
        </w:rPr>
        <w:t>1</w:t>
      </w:r>
      <w:r>
        <w:rPr>
          <w:rFonts w:hint="eastAsia" w:ascii="宋体" w:hAnsi="宋体" w:eastAsia="宋体" w:cs="宋体"/>
          <w:color w:val="000000"/>
          <w:kern w:val="2"/>
          <w:sz w:val="24"/>
          <w:szCs w:val="24"/>
          <w:lang w:val="en-US" w:eastAsia="zh-CN" w:bidi="ar-SA"/>
        </w:rPr>
        <w:t>月</w:t>
      </w:r>
      <w:r>
        <w:rPr>
          <w:rFonts w:hint="eastAsia" w:ascii="宋体" w:hAnsi="宋体" w:cs="宋体"/>
          <w:color w:val="000000"/>
          <w:kern w:val="2"/>
          <w:sz w:val="24"/>
          <w:szCs w:val="24"/>
          <w:lang w:val="en-US" w:eastAsia="zh-CN" w:bidi="ar-SA"/>
        </w:rPr>
        <w:t>26</w:t>
      </w:r>
      <w:r>
        <w:rPr>
          <w:rFonts w:hint="eastAsia" w:ascii="宋体" w:hAnsi="宋体" w:eastAsia="宋体" w:cs="宋体"/>
          <w:color w:val="000000"/>
          <w:kern w:val="2"/>
          <w:sz w:val="24"/>
          <w:szCs w:val="24"/>
          <w:lang w:val="en-US" w:eastAsia="zh-CN" w:bidi="ar-SA"/>
        </w:rPr>
        <w:t>日</w:t>
      </w:r>
    </w:p>
    <w:p w14:paraId="233CBB4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附件：</w:t>
      </w:r>
      <w:r>
        <w:rPr>
          <w:rFonts w:hint="eastAsia" w:ascii="宋体" w:hAnsi="宋体" w:cs="宋体"/>
          <w:color w:val="000000" w:themeColor="text1"/>
          <w:kern w:val="0"/>
          <w:sz w:val="24"/>
          <w:lang w:val="en-US" w:eastAsia="zh-CN"/>
          <w14:textFill>
            <w14:solidFill>
              <w14:schemeClr w14:val="tx1"/>
            </w14:solidFill>
          </w14:textFill>
        </w:rPr>
        <w:t>1.《出租标的明细表》</w:t>
      </w:r>
    </w:p>
    <w:p w14:paraId="6155C833">
      <w:pPr>
        <w:keepNext w:val="0"/>
        <w:keepLines w:val="0"/>
        <w:pageBreakBefore w:val="0"/>
        <w:widowControl w:val="0"/>
        <w:kinsoku/>
        <w:wordWrap/>
        <w:overflowPunct/>
        <w:topLinePunct w:val="0"/>
        <w:autoSpaceDE/>
        <w:autoSpaceDN/>
        <w:bidi w:val="0"/>
        <w:adjustRightInd/>
        <w:snapToGrid/>
        <w:spacing w:line="460" w:lineRule="exact"/>
        <w:ind w:firstLine="720" w:firstLineChars="300"/>
        <w:jc w:val="left"/>
        <w:textAlignment w:val="auto"/>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2.《房屋租赁合同（样本）》</w:t>
      </w:r>
    </w:p>
    <w:sectPr>
      <w:headerReference r:id="rId3" w:type="default"/>
      <w:footerReference r:id="rId4" w:type="default"/>
      <w:pgSz w:w="11906" w:h="16838"/>
      <w:pgMar w:top="1558" w:right="1106" w:bottom="1558"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CD6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8A95B15">
                          <w:pPr>
                            <w:pStyle w:val="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38A95B1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75CD4">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iNDA2NDIxMWVhODAzMDVlNzQwODViOTVjNGE3MGUifQ=="/>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94F17"/>
    <w:rsid w:val="01D0349F"/>
    <w:rsid w:val="01DD41C2"/>
    <w:rsid w:val="02046F29"/>
    <w:rsid w:val="02AC0F47"/>
    <w:rsid w:val="02BA18AE"/>
    <w:rsid w:val="02BC5373"/>
    <w:rsid w:val="02CE17E8"/>
    <w:rsid w:val="02D72264"/>
    <w:rsid w:val="02FB6B16"/>
    <w:rsid w:val="031753A0"/>
    <w:rsid w:val="03191F32"/>
    <w:rsid w:val="036C52BA"/>
    <w:rsid w:val="0399158F"/>
    <w:rsid w:val="03D56A1F"/>
    <w:rsid w:val="03D57CB6"/>
    <w:rsid w:val="044C1F85"/>
    <w:rsid w:val="05835CF9"/>
    <w:rsid w:val="058365C7"/>
    <w:rsid w:val="05B36BB2"/>
    <w:rsid w:val="05C432C0"/>
    <w:rsid w:val="05CA0F66"/>
    <w:rsid w:val="05CF5FA2"/>
    <w:rsid w:val="069B75C0"/>
    <w:rsid w:val="06BA630B"/>
    <w:rsid w:val="06BA6D55"/>
    <w:rsid w:val="06D31875"/>
    <w:rsid w:val="06ED4932"/>
    <w:rsid w:val="07375BAD"/>
    <w:rsid w:val="073B3887"/>
    <w:rsid w:val="07693A2F"/>
    <w:rsid w:val="07872FDB"/>
    <w:rsid w:val="07E254FB"/>
    <w:rsid w:val="07ED3E6D"/>
    <w:rsid w:val="08035B97"/>
    <w:rsid w:val="08446FA0"/>
    <w:rsid w:val="0865515F"/>
    <w:rsid w:val="086D16CA"/>
    <w:rsid w:val="08C178E9"/>
    <w:rsid w:val="08D93D0B"/>
    <w:rsid w:val="091A24B2"/>
    <w:rsid w:val="09485583"/>
    <w:rsid w:val="097E6829"/>
    <w:rsid w:val="0A2F517D"/>
    <w:rsid w:val="0A4C2C72"/>
    <w:rsid w:val="0A7232C9"/>
    <w:rsid w:val="0AE57816"/>
    <w:rsid w:val="0B642C7A"/>
    <w:rsid w:val="0B691990"/>
    <w:rsid w:val="0C03337B"/>
    <w:rsid w:val="0C627017"/>
    <w:rsid w:val="0C940888"/>
    <w:rsid w:val="0D4317B0"/>
    <w:rsid w:val="0D8E229F"/>
    <w:rsid w:val="0DC21F49"/>
    <w:rsid w:val="0E35767A"/>
    <w:rsid w:val="0E5C78A3"/>
    <w:rsid w:val="0F004A9B"/>
    <w:rsid w:val="0F307AB2"/>
    <w:rsid w:val="0FC73288"/>
    <w:rsid w:val="0FC91878"/>
    <w:rsid w:val="0FD4268B"/>
    <w:rsid w:val="102056F8"/>
    <w:rsid w:val="10294501"/>
    <w:rsid w:val="10861614"/>
    <w:rsid w:val="10B02287"/>
    <w:rsid w:val="10DD4881"/>
    <w:rsid w:val="119E2974"/>
    <w:rsid w:val="119F21FC"/>
    <w:rsid w:val="11FC55B2"/>
    <w:rsid w:val="124F64F3"/>
    <w:rsid w:val="127641B7"/>
    <w:rsid w:val="1277475A"/>
    <w:rsid w:val="128F5FB8"/>
    <w:rsid w:val="129836AF"/>
    <w:rsid w:val="12A9602F"/>
    <w:rsid w:val="12BE7C7F"/>
    <w:rsid w:val="12C47381"/>
    <w:rsid w:val="13031039"/>
    <w:rsid w:val="13043A46"/>
    <w:rsid w:val="130A686C"/>
    <w:rsid w:val="1348675C"/>
    <w:rsid w:val="135A334F"/>
    <w:rsid w:val="135E2714"/>
    <w:rsid w:val="13EA7D68"/>
    <w:rsid w:val="13FF0D0B"/>
    <w:rsid w:val="14034BB8"/>
    <w:rsid w:val="1417033E"/>
    <w:rsid w:val="142B35CE"/>
    <w:rsid w:val="148A24DD"/>
    <w:rsid w:val="14C56374"/>
    <w:rsid w:val="15082937"/>
    <w:rsid w:val="15273D58"/>
    <w:rsid w:val="15811B5B"/>
    <w:rsid w:val="15AE7982"/>
    <w:rsid w:val="15E07984"/>
    <w:rsid w:val="160A2881"/>
    <w:rsid w:val="163766BB"/>
    <w:rsid w:val="163D5F6B"/>
    <w:rsid w:val="166242C9"/>
    <w:rsid w:val="16A67EFB"/>
    <w:rsid w:val="16CE0B7D"/>
    <w:rsid w:val="17237061"/>
    <w:rsid w:val="173F3FC6"/>
    <w:rsid w:val="175B7066"/>
    <w:rsid w:val="177E450E"/>
    <w:rsid w:val="17C6596C"/>
    <w:rsid w:val="17D45C0F"/>
    <w:rsid w:val="17DD62FD"/>
    <w:rsid w:val="1814492D"/>
    <w:rsid w:val="188D7E54"/>
    <w:rsid w:val="18CB2F80"/>
    <w:rsid w:val="18DD74FF"/>
    <w:rsid w:val="18EE193B"/>
    <w:rsid w:val="19A40FFC"/>
    <w:rsid w:val="19FD549D"/>
    <w:rsid w:val="1A461FED"/>
    <w:rsid w:val="1ABE298D"/>
    <w:rsid w:val="1ADD5174"/>
    <w:rsid w:val="1AE257AE"/>
    <w:rsid w:val="1B6B20A5"/>
    <w:rsid w:val="1B880CB1"/>
    <w:rsid w:val="1BA160EF"/>
    <w:rsid w:val="1C256156"/>
    <w:rsid w:val="1C276622"/>
    <w:rsid w:val="1C782696"/>
    <w:rsid w:val="1C8231BE"/>
    <w:rsid w:val="1C902058"/>
    <w:rsid w:val="1CB6199F"/>
    <w:rsid w:val="1D044DC1"/>
    <w:rsid w:val="1D1327C1"/>
    <w:rsid w:val="1D844366"/>
    <w:rsid w:val="1D8F06AE"/>
    <w:rsid w:val="1DBA54B2"/>
    <w:rsid w:val="1DC05D68"/>
    <w:rsid w:val="1DE678D0"/>
    <w:rsid w:val="1DF83E91"/>
    <w:rsid w:val="1DFE74E1"/>
    <w:rsid w:val="1E0400A7"/>
    <w:rsid w:val="1E6D11FC"/>
    <w:rsid w:val="1EA61625"/>
    <w:rsid w:val="1F113344"/>
    <w:rsid w:val="1F330EF8"/>
    <w:rsid w:val="1F4B7152"/>
    <w:rsid w:val="1F513CA8"/>
    <w:rsid w:val="20445990"/>
    <w:rsid w:val="205C1778"/>
    <w:rsid w:val="20892A22"/>
    <w:rsid w:val="20A0788B"/>
    <w:rsid w:val="20D234E6"/>
    <w:rsid w:val="20DE431E"/>
    <w:rsid w:val="211025E1"/>
    <w:rsid w:val="211830D2"/>
    <w:rsid w:val="21274DA2"/>
    <w:rsid w:val="215A3AB3"/>
    <w:rsid w:val="218F764D"/>
    <w:rsid w:val="21F33FB3"/>
    <w:rsid w:val="222C7AB8"/>
    <w:rsid w:val="223022D3"/>
    <w:rsid w:val="228D71DB"/>
    <w:rsid w:val="236E0751"/>
    <w:rsid w:val="23A81DEB"/>
    <w:rsid w:val="240A1406"/>
    <w:rsid w:val="24110CB8"/>
    <w:rsid w:val="243510D4"/>
    <w:rsid w:val="248C288A"/>
    <w:rsid w:val="249B0A92"/>
    <w:rsid w:val="24A759DB"/>
    <w:rsid w:val="24B6761D"/>
    <w:rsid w:val="24D16AEA"/>
    <w:rsid w:val="25184EB6"/>
    <w:rsid w:val="254250A8"/>
    <w:rsid w:val="25AF2C6D"/>
    <w:rsid w:val="25B92378"/>
    <w:rsid w:val="2611785E"/>
    <w:rsid w:val="26724C50"/>
    <w:rsid w:val="26C40B4B"/>
    <w:rsid w:val="26FA5A34"/>
    <w:rsid w:val="27013B59"/>
    <w:rsid w:val="281A3A6A"/>
    <w:rsid w:val="28505965"/>
    <w:rsid w:val="287C188E"/>
    <w:rsid w:val="288551E7"/>
    <w:rsid w:val="289066E0"/>
    <w:rsid w:val="29847A81"/>
    <w:rsid w:val="2A36061B"/>
    <w:rsid w:val="2A556978"/>
    <w:rsid w:val="2A5C55CF"/>
    <w:rsid w:val="2A905E66"/>
    <w:rsid w:val="2A976374"/>
    <w:rsid w:val="2AB7228A"/>
    <w:rsid w:val="2AC16E4F"/>
    <w:rsid w:val="2AF7447D"/>
    <w:rsid w:val="2B1E4C8C"/>
    <w:rsid w:val="2B2A2FD9"/>
    <w:rsid w:val="2B805BCD"/>
    <w:rsid w:val="2BBC3B7F"/>
    <w:rsid w:val="2BBF048E"/>
    <w:rsid w:val="2BE5411B"/>
    <w:rsid w:val="2BFDA559"/>
    <w:rsid w:val="2C0520D1"/>
    <w:rsid w:val="2C297A58"/>
    <w:rsid w:val="2C3C2E78"/>
    <w:rsid w:val="2C76366E"/>
    <w:rsid w:val="2C90798A"/>
    <w:rsid w:val="2C9D6589"/>
    <w:rsid w:val="2CA13EC5"/>
    <w:rsid w:val="2CAA7F15"/>
    <w:rsid w:val="2CB65C7D"/>
    <w:rsid w:val="2D1E1CE5"/>
    <w:rsid w:val="2D312440"/>
    <w:rsid w:val="2D4D7E8B"/>
    <w:rsid w:val="2D662373"/>
    <w:rsid w:val="2D721A06"/>
    <w:rsid w:val="2D76092E"/>
    <w:rsid w:val="2D786770"/>
    <w:rsid w:val="2D9301F8"/>
    <w:rsid w:val="2DC071BC"/>
    <w:rsid w:val="2DCA40C4"/>
    <w:rsid w:val="2E4722CA"/>
    <w:rsid w:val="2E514EF7"/>
    <w:rsid w:val="2E731DDC"/>
    <w:rsid w:val="2EE9735C"/>
    <w:rsid w:val="2F081A5A"/>
    <w:rsid w:val="2F3D6487"/>
    <w:rsid w:val="2F4ED101"/>
    <w:rsid w:val="2F690A46"/>
    <w:rsid w:val="2F7012D5"/>
    <w:rsid w:val="2FA141FE"/>
    <w:rsid w:val="2FD23E16"/>
    <w:rsid w:val="2FF41FDE"/>
    <w:rsid w:val="30B627A4"/>
    <w:rsid w:val="30E57FFF"/>
    <w:rsid w:val="31183C37"/>
    <w:rsid w:val="31210D3C"/>
    <w:rsid w:val="315166AB"/>
    <w:rsid w:val="31992265"/>
    <w:rsid w:val="319C573F"/>
    <w:rsid w:val="31FB58A6"/>
    <w:rsid w:val="320B6E9B"/>
    <w:rsid w:val="323668DE"/>
    <w:rsid w:val="323D2EA7"/>
    <w:rsid w:val="32A939A4"/>
    <w:rsid w:val="32B3FE2D"/>
    <w:rsid w:val="32CB5278"/>
    <w:rsid w:val="32F95E0C"/>
    <w:rsid w:val="33762B44"/>
    <w:rsid w:val="338A604C"/>
    <w:rsid w:val="33F46BC6"/>
    <w:rsid w:val="33FA5003"/>
    <w:rsid w:val="34787C07"/>
    <w:rsid w:val="34D874BA"/>
    <w:rsid w:val="34EA3885"/>
    <w:rsid w:val="34F01CDA"/>
    <w:rsid w:val="34F860CC"/>
    <w:rsid w:val="3507519C"/>
    <w:rsid w:val="35301D0A"/>
    <w:rsid w:val="35661336"/>
    <w:rsid w:val="358A78ED"/>
    <w:rsid w:val="35981B85"/>
    <w:rsid w:val="35BC0135"/>
    <w:rsid w:val="35BD5C0C"/>
    <w:rsid w:val="35D13552"/>
    <w:rsid w:val="35FC6014"/>
    <w:rsid w:val="35FF4782"/>
    <w:rsid w:val="36392E40"/>
    <w:rsid w:val="3647730B"/>
    <w:rsid w:val="3650258D"/>
    <w:rsid w:val="36DE12F2"/>
    <w:rsid w:val="37766767"/>
    <w:rsid w:val="37881031"/>
    <w:rsid w:val="37A238FB"/>
    <w:rsid w:val="38637461"/>
    <w:rsid w:val="3875083F"/>
    <w:rsid w:val="38990AA1"/>
    <w:rsid w:val="38AF2F46"/>
    <w:rsid w:val="38F60B75"/>
    <w:rsid w:val="38FD02F4"/>
    <w:rsid w:val="390C65EA"/>
    <w:rsid w:val="39544A8A"/>
    <w:rsid w:val="396B6DD4"/>
    <w:rsid w:val="39B91003"/>
    <w:rsid w:val="39C95FD0"/>
    <w:rsid w:val="39EE7A9E"/>
    <w:rsid w:val="3A080637"/>
    <w:rsid w:val="3A257964"/>
    <w:rsid w:val="3A30455A"/>
    <w:rsid w:val="3AA05B89"/>
    <w:rsid w:val="3AE798BB"/>
    <w:rsid w:val="3AFD63B4"/>
    <w:rsid w:val="3B121B64"/>
    <w:rsid w:val="3B145739"/>
    <w:rsid w:val="3B8A1A7E"/>
    <w:rsid w:val="3BB42506"/>
    <w:rsid w:val="3BBF24F6"/>
    <w:rsid w:val="3BD57167"/>
    <w:rsid w:val="3C025A83"/>
    <w:rsid w:val="3C795D45"/>
    <w:rsid w:val="3C8E474E"/>
    <w:rsid w:val="3C992DC6"/>
    <w:rsid w:val="3C9E186E"/>
    <w:rsid w:val="3CA72724"/>
    <w:rsid w:val="3CEA09F1"/>
    <w:rsid w:val="3D20796B"/>
    <w:rsid w:val="3D604E89"/>
    <w:rsid w:val="3D8229BF"/>
    <w:rsid w:val="3DD55545"/>
    <w:rsid w:val="3E482613"/>
    <w:rsid w:val="3E8A18BB"/>
    <w:rsid w:val="3EDF3058"/>
    <w:rsid w:val="3F19622C"/>
    <w:rsid w:val="3F253F62"/>
    <w:rsid w:val="3F4624B6"/>
    <w:rsid w:val="3F5B1E05"/>
    <w:rsid w:val="3F9B2DCE"/>
    <w:rsid w:val="3FB307B7"/>
    <w:rsid w:val="3FD63260"/>
    <w:rsid w:val="4061451C"/>
    <w:rsid w:val="407707ED"/>
    <w:rsid w:val="40AA0920"/>
    <w:rsid w:val="40D014C0"/>
    <w:rsid w:val="40F95D14"/>
    <w:rsid w:val="414C2001"/>
    <w:rsid w:val="41607C54"/>
    <w:rsid w:val="41CB00EC"/>
    <w:rsid w:val="42406517"/>
    <w:rsid w:val="424E557E"/>
    <w:rsid w:val="425D23F3"/>
    <w:rsid w:val="426D046C"/>
    <w:rsid w:val="428A306B"/>
    <w:rsid w:val="42A55E25"/>
    <w:rsid w:val="432359D6"/>
    <w:rsid w:val="43430E5B"/>
    <w:rsid w:val="435C3280"/>
    <w:rsid w:val="43615785"/>
    <w:rsid w:val="438375BD"/>
    <w:rsid w:val="439374D6"/>
    <w:rsid w:val="439B3922"/>
    <w:rsid w:val="43AE7DCC"/>
    <w:rsid w:val="43C55BC1"/>
    <w:rsid w:val="43CC3956"/>
    <w:rsid w:val="442830A5"/>
    <w:rsid w:val="447D7D11"/>
    <w:rsid w:val="44AB543E"/>
    <w:rsid w:val="44C834C6"/>
    <w:rsid w:val="44CB5A6D"/>
    <w:rsid w:val="44ED5522"/>
    <w:rsid w:val="44F136C6"/>
    <w:rsid w:val="45566A8C"/>
    <w:rsid w:val="456B6447"/>
    <w:rsid w:val="458C01EA"/>
    <w:rsid w:val="459D697D"/>
    <w:rsid w:val="45AF3FA5"/>
    <w:rsid w:val="46394FC6"/>
    <w:rsid w:val="466C582B"/>
    <w:rsid w:val="46C74BD9"/>
    <w:rsid w:val="46D53DA4"/>
    <w:rsid w:val="46EE7A0F"/>
    <w:rsid w:val="47397E0A"/>
    <w:rsid w:val="473C009B"/>
    <w:rsid w:val="473E1D1D"/>
    <w:rsid w:val="47473E0B"/>
    <w:rsid w:val="478C1170"/>
    <w:rsid w:val="4795415F"/>
    <w:rsid w:val="47B34325"/>
    <w:rsid w:val="47FA4464"/>
    <w:rsid w:val="480D0878"/>
    <w:rsid w:val="482D790F"/>
    <w:rsid w:val="483B1360"/>
    <w:rsid w:val="48774F00"/>
    <w:rsid w:val="487B4BF3"/>
    <w:rsid w:val="48835907"/>
    <w:rsid w:val="48C33317"/>
    <w:rsid w:val="48E41870"/>
    <w:rsid w:val="49145521"/>
    <w:rsid w:val="492A23F4"/>
    <w:rsid w:val="49773C28"/>
    <w:rsid w:val="49B80B02"/>
    <w:rsid w:val="49DC4035"/>
    <w:rsid w:val="4A042255"/>
    <w:rsid w:val="4A5B7D47"/>
    <w:rsid w:val="4A6F0AD8"/>
    <w:rsid w:val="4AF11F2F"/>
    <w:rsid w:val="4B7E556C"/>
    <w:rsid w:val="4B7F5906"/>
    <w:rsid w:val="4BB00250"/>
    <w:rsid w:val="4C0213F4"/>
    <w:rsid w:val="4C4360AB"/>
    <w:rsid w:val="4C4446AE"/>
    <w:rsid w:val="4C480112"/>
    <w:rsid w:val="4C6F4853"/>
    <w:rsid w:val="4C7308C9"/>
    <w:rsid w:val="4C7A0977"/>
    <w:rsid w:val="4D025E83"/>
    <w:rsid w:val="4D2B4F8F"/>
    <w:rsid w:val="4D312DC5"/>
    <w:rsid w:val="4D377E11"/>
    <w:rsid w:val="4D43295F"/>
    <w:rsid w:val="4D9616F3"/>
    <w:rsid w:val="4DF53F69"/>
    <w:rsid w:val="4E34602C"/>
    <w:rsid w:val="4E3917D8"/>
    <w:rsid w:val="4E460AE6"/>
    <w:rsid w:val="4E505F0D"/>
    <w:rsid w:val="4E617863"/>
    <w:rsid w:val="4E6A4E77"/>
    <w:rsid w:val="4EA175B8"/>
    <w:rsid w:val="4EA417C5"/>
    <w:rsid w:val="4EC00138"/>
    <w:rsid w:val="4ED232B7"/>
    <w:rsid w:val="4EDD31D7"/>
    <w:rsid w:val="4F041DA9"/>
    <w:rsid w:val="4F4915A7"/>
    <w:rsid w:val="4F6B75B6"/>
    <w:rsid w:val="4FCA1762"/>
    <w:rsid w:val="4FD17A9A"/>
    <w:rsid w:val="4FDF015D"/>
    <w:rsid w:val="50871E3A"/>
    <w:rsid w:val="50AD614E"/>
    <w:rsid w:val="51792864"/>
    <w:rsid w:val="520477FB"/>
    <w:rsid w:val="52082E5D"/>
    <w:rsid w:val="52901EC5"/>
    <w:rsid w:val="52D77EAA"/>
    <w:rsid w:val="52DB1578"/>
    <w:rsid w:val="52E542AB"/>
    <w:rsid w:val="5338194F"/>
    <w:rsid w:val="53413B53"/>
    <w:rsid w:val="53807425"/>
    <w:rsid w:val="53911E27"/>
    <w:rsid w:val="54394D97"/>
    <w:rsid w:val="5484681C"/>
    <w:rsid w:val="549F0513"/>
    <w:rsid w:val="54A9691F"/>
    <w:rsid w:val="54D44008"/>
    <w:rsid w:val="54D728E6"/>
    <w:rsid w:val="550324C2"/>
    <w:rsid w:val="55125AD0"/>
    <w:rsid w:val="551C0163"/>
    <w:rsid w:val="55597600"/>
    <w:rsid w:val="55F03BF8"/>
    <w:rsid w:val="560976C3"/>
    <w:rsid w:val="56553E33"/>
    <w:rsid w:val="569A7D90"/>
    <w:rsid w:val="56C35F78"/>
    <w:rsid w:val="56EE589D"/>
    <w:rsid w:val="56F9DB77"/>
    <w:rsid w:val="572B581F"/>
    <w:rsid w:val="574259FA"/>
    <w:rsid w:val="574A06FC"/>
    <w:rsid w:val="575255F7"/>
    <w:rsid w:val="57AD7E90"/>
    <w:rsid w:val="57C65CD9"/>
    <w:rsid w:val="57E1549B"/>
    <w:rsid w:val="57FEBE1C"/>
    <w:rsid w:val="581C5243"/>
    <w:rsid w:val="583F530D"/>
    <w:rsid w:val="5865741D"/>
    <w:rsid w:val="587210B0"/>
    <w:rsid w:val="58AD2046"/>
    <w:rsid w:val="58DE293D"/>
    <w:rsid w:val="593A4D40"/>
    <w:rsid w:val="593E5EF4"/>
    <w:rsid w:val="595C18F0"/>
    <w:rsid w:val="59891EF8"/>
    <w:rsid w:val="59BC7EEF"/>
    <w:rsid w:val="5A011185"/>
    <w:rsid w:val="5A0A27AE"/>
    <w:rsid w:val="5A2B07F1"/>
    <w:rsid w:val="5A3E75D3"/>
    <w:rsid w:val="5A513A05"/>
    <w:rsid w:val="5A8C4263"/>
    <w:rsid w:val="5AE20B01"/>
    <w:rsid w:val="5B22253E"/>
    <w:rsid w:val="5B2901E9"/>
    <w:rsid w:val="5B3C7A89"/>
    <w:rsid w:val="5B530D2E"/>
    <w:rsid w:val="5B6EB35A"/>
    <w:rsid w:val="5B7B09D4"/>
    <w:rsid w:val="5B8D2D21"/>
    <w:rsid w:val="5B8D3EEF"/>
    <w:rsid w:val="5C802F74"/>
    <w:rsid w:val="5C86325F"/>
    <w:rsid w:val="5C946353"/>
    <w:rsid w:val="5CB07599"/>
    <w:rsid w:val="5CDD049B"/>
    <w:rsid w:val="5CDF2289"/>
    <w:rsid w:val="5D3C274B"/>
    <w:rsid w:val="5D97217A"/>
    <w:rsid w:val="5DD14BE9"/>
    <w:rsid w:val="5DFC3E56"/>
    <w:rsid w:val="5E2A6D5F"/>
    <w:rsid w:val="5E2B5748"/>
    <w:rsid w:val="5EA93D0F"/>
    <w:rsid w:val="5EC20387"/>
    <w:rsid w:val="5EE37048"/>
    <w:rsid w:val="5F1A6ABC"/>
    <w:rsid w:val="5F252FFA"/>
    <w:rsid w:val="5F3833E6"/>
    <w:rsid w:val="5F832C78"/>
    <w:rsid w:val="5F851ACB"/>
    <w:rsid w:val="5FCA3599"/>
    <w:rsid w:val="5FD27396"/>
    <w:rsid w:val="5FD55B32"/>
    <w:rsid w:val="60822AF9"/>
    <w:rsid w:val="609A4BD3"/>
    <w:rsid w:val="60BE7457"/>
    <w:rsid w:val="60F634AE"/>
    <w:rsid w:val="611933AE"/>
    <w:rsid w:val="61471ACE"/>
    <w:rsid w:val="61C31A11"/>
    <w:rsid w:val="61D0084D"/>
    <w:rsid w:val="62005EEF"/>
    <w:rsid w:val="623C1EB4"/>
    <w:rsid w:val="6250716D"/>
    <w:rsid w:val="627209BD"/>
    <w:rsid w:val="62735672"/>
    <w:rsid w:val="62B77C63"/>
    <w:rsid w:val="62FE3BE6"/>
    <w:rsid w:val="63050ED2"/>
    <w:rsid w:val="63A86843"/>
    <w:rsid w:val="63D71CFD"/>
    <w:rsid w:val="63FB28D4"/>
    <w:rsid w:val="64561B9C"/>
    <w:rsid w:val="648806BE"/>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387250"/>
    <w:rsid w:val="6747066A"/>
    <w:rsid w:val="676C1430"/>
    <w:rsid w:val="67961FC2"/>
    <w:rsid w:val="67C44D21"/>
    <w:rsid w:val="67D11A4E"/>
    <w:rsid w:val="684D52C4"/>
    <w:rsid w:val="68590ED9"/>
    <w:rsid w:val="69344C1E"/>
    <w:rsid w:val="69931944"/>
    <w:rsid w:val="69BB1DA2"/>
    <w:rsid w:val="69D342B8"/>
    <w:rsid w:val="6A1828AA"/>
    <w:rsid w:val="6A296884"/>
    <w:rsid w:val="6A445335"/>
    <w:rsid w:val="6A846C3C"/>
    <w:rsid w:val="6A86532E"/>
    <w:rsid w:val="6A9040D6"/>
    <w:rsid w:val="6AB4227F"/>
    <w:rsid w:val="6B6141DE"/>
    <w:rsid w:val="6B787743"/>
    <w:rsid w:val="6BFD2B0A"/>
    <w:rsid w:val="6C225202"/>
    <w:rsid w:val="6C2E7676"/>
    <w:rsid w:val="6C760AB3"/>
    <w:rsid w:val="6C7C646E"/>
    <w:rsid w:val="6CB92BD1"/>
    <w:rsid w:val="6CD161EC"/>
    <w:rsid w:val="6CDF35C4"/>
    <w:rsid w:val="6DFC3ED2"/>
    <w:rsid w:val="6E316EA6"/>
    <w:rsid w:val="6E815494"/>
    <w:rsid w:val="6E8C763E"/>
    <w:rsid w:val="6ECA6E08"/>
    <w:rsid w:val="6ED15408"/>
    <w:rsid w:val="6EE36ECA"/>
    <w:rsid w:val="6F26070E"/>
    <w:rsid w:val="6F310485"/>
    <w:rsid w:val="6F4D795C"/>
    <w:rsid w:val="6FB61730"/>
    <w:rsid w:val="6FFB46E7"/>
    <w:rsid w:val="70447E3C"/>
    <w:rsid w:val="7060454A"/>
    <w:rsid w:val="70866C12"/>
    <w:rsid w:val="70B110BD"/>
    <w:rsid w:val="70CB47E1"/>
    <w:rsid w:val="70EC47EA"/>
    <w:rsid w:val="710A284E"/>
    <w:rsid w:val="713D058A"/>
    <w:rsid w:val="717711B4"/>
    <w:rsid w:val="717A3DA5"/>
    <w:rsid w:val="71A05546"/>
    <w:rsid w:val="71D00A9E"/>
    <w:rsid w:val="721B0557"/>
    <w:rsid w:val="7237504A"/>
    <w:rsid w:val="724E4FA2"/>
    <w:rsid w:val="7275065F"/>
    <w:rsid w:val="72A20E4A"/>
    <w:rsid w:val="73970746"/>
    <w:rsid w:val="73B136CB"/>
    <w:rsid w:val="73B55051"/>
    <w:rsid w:val="73DB9061"/>
    <w:rsid w:val="74267E75"/>
    <w:rsid w:val="74330C51"/>
    <w:rsid w:val="744011B9"/>
    <w:rsid w:val="74580127"/>
    <w:rsid w:val="74AB65E8"/>
    <w:rsid w:val="74CF12E9"/>
    <w:rsid w:val="74F03CA1"/>
    <w:rsid w:val="74F846EB"/>
    <w:rsid w:val="750B5177"/>
    <w:rsid w:val="757A03F8"/>
    <w:rsid w:val="766E45C4"/>
    <w:rsid w:val="769B255A"/>
    <w:rsid w:val="76B636C0"/>
    <w:rsid w:val="76F51E90"/>
    <w:rsid w:val="77166D3D"/>
    <w:rsid w:val="7739385F"/>
    <w:rsid w:val="777D3E7E"/>
    <w:rsid w:val="77996839"/>
    <w:rsid w:val="781174F2"/>
    <w:rsid w:val="781F4CEB"/>
    <w:rsid w:val="78361072"/>
    <w:rsid w:val="78422E7D"/>
    <w:rsid w:val="784D5990"/>
    <w:rsid w:val="785228DA"/>
    <w:rsid w:val="786575AD"/>
    <w:rsid w:val="787F0879"/>
    <w:rsid w:val="78A02FA0"/>
    <w:rsid w:val="78E9384A"/>
    <w:rsid w:val="794D5A65"/>
    <w:rsid w:val="796FF378"/>
    <w:rsid w:val="797A63B2"/>
    <w:rsid w:val="79922C1B"/>
    <w:rsid w:val="79951709"/>
    <w:rsid w:val="79966DD3"/>
    <w:rsid w:val="79A84582"/>
    <w:rsid w:val="79B25E17"/>
    <w:rsid w:val="79C23BFC"/>
    <w:rsid w:val="79F301DD"/>
    <w:rsid w:val="7A5FFCDE"/>
    <w:rsid w:val="7A843160"/>
    <w:rsid w:val="7A8772A3"/>
    <w:rsid w:val="7A904AD5"/>
    <w:rsid w:val="7ABE6A3D"/>
    <w:rsid w:val="7AC72841"/>
    <w:rsid w:val="7B186513"/>
    <w:rsid w:val="7B4435A2"/>
    <w:rsid w:val="7B578919"/>
    <w:rsid w:val="7B651423"/>
    <w:rsid w:val="7B814910"/>
    <w:rsid w:val="7B87581E"/>
    <w:rsid w:val="7BF20F67"/>
    <w:rsid w:val="7C120713"/>
    <w:rsid w:val="7C126924"/>
    <w:rsid w:val="7C263DF1"/>
    <w:rsid w:val="7C436E29"/>
    <w:rsid w:val="7C4F7E97"/>
    <w:rsid w:val="7C5517EE"/>
    <w:rsid w:val="7CFD5A78"/>
    <w:rsid w:val="7D103724"/>
    <w:rsid w:val="7D511F32"/>
    <w:rsid w:val="7D573AFD"/>
    <w:rsid w:val="7D6B1F87"/>
    <w:rsid w:val="7D7004C3"/>
    <w:rsid w:val="7D781F99"/>
    <w:rsid w:val="7DA83579"/>
    <w:rsid w:val="7DE73065"/>
    <w:rsid w:val="7DEFE052"/>
    <w:rsid w:val="7DF43ABC"/>
    <w:rsid w:val="7E222C36"/>
    <w:rsid w:val="7E325778"/>
    <w:rsid w:val="7E4374E0"/>
    <w:rsid w:val="7E7310D0"/>
    <w:rsid w:val="7E9A5D97"/>
    <w:rsid w:val="7ECEDE29"/>
    <w:rsid w:val="7ED4682F"/>
    <w:rsid w:val="7EE959EB"/>
    <w:rsid w:val="7F9AE455"/>
    <w:rsid w:val="7F9B1945"/>
    <w:rsid w:val="7FD8327F"/>
    <w:rsid w:val="7FDC6E2F"/>
    <w:rsid w:val="B7BE6D02"/>
    <w:rsid w:val="BAF9ABAA"/>
    <w:rsid w:val="BCDB9BD5"/>
    <w:rsid w:val="BD797EDE"/>
    <w:rsid w:val="DD7BDDC5"/>
    <w:rsid w:val="DDD617BF"/>
    <w:rsid w:val="EF997D14"/>
    <w:rsid w:val="EFBDF2D9"/>
    <w:rsid w:val="EFFEBDC1"/>
    <w:rsid w:val="F3AF42FF"/>
    <w:rsid w:val="F3F79163"/>
    <w:rsid w:val="F6BF13B8"/>
    <w:rsid w:val="F6D48CF0"/>
    <w:rsid w:val="F78F919B"/>
    <w:rsid w:val="FD3FEEC0"/>
    <w:rsid w:val="FF6DDD55"/>
    <w:rsid w:val="FF9FC6CC"/>
    <w:rsid w:val="FFBF4140"/>
    <w:rsid w:val="FFDA7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line="360" w:lineRule="auto"/>
      <w:ind w:left="540" w:firstLine="660" w:firstLineChars="275"/>
    </w:pPr>
    <w:rPr>
      <w:rFonts w:ascii="幼圆" w:eastAsia="幼圆"/>
      <w:sz w:val="24"/>
    </w:rPr>
  </w:style>
  <w:style w:type="paragraph" w:styleId="3">
    <w:name w:val="Date"/>
    <w:basedOn w:val="1"/>
    <w:next w:val="1"/>
    <w:autoRedefine/>
    <w:qFormat/>
    <w:uiPriority w:val="0"/>
    <w:pPr>
      <w:ind w:left="100" w:leftChars="2500"/>
    </w:pPr>
  </w:style>
  <w:style w:type="paragraph" w:styleId="4">
    <w:name w:val="Balloon Text"/>
    <w:basedOn w:val="1"/>
    <w:autoRedefine/>
    <w:qFormat/>
    <w:uiPriority w:val="0"/>
    <w:rPr>
      <w:sz w:val="18"/>
      <w:szCs w:val="18"/>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autoRedefine/>
    <w:qFormat/>
    <w:uiPriority w:val="0"/>
    <w:rPr>
      <w:b/>
      <w:bCs/>
    </w:rPr>
  </w:style>
  <w:style w:type="character" w:styleId="12">
    <w:name w:val="page number"/>
    <w:autoRedefine/>
    <w:qFormat/>
    <w:uiPriority w:val="0"/>
  </w:style>
  <w:style w:type="character" w:styleId="13">
    <w:name w:val="FollowedHyperlink"/>
    <w:autoRedefine/>
    <w:qFormat/>
    <w:uiPriority w:val="99"/>
    <w:rPr>
      <w:color w:val="666666"/>
      <w:u w:val="none"/>
    </w:rPr>
  </w:style>
  <w:style w:type="character" w:styleId="14">
    <w:name w:val="Hyperlink"/>
    <w:autoRedefine/>
    <w:qFormat/>
    <w:uiPriority w:val="99"/>
    <w:rPr>
      <w:color w:val="666666"/>
      <w:u w:val="none"/>
    </w:rPr>
  </w:style>
  <w:style w:type="character" w:customStyle="1" w:styleId="15">
    <w:name w:val="页脚 字符"/>
    <w:link w:val="5"/>
    <w:autoRedefine/>
    <w:qFormat/>
    <w:uiPriority w:val="0"/>
    <w:rPr>
      <w:kern w:val="2"/>
      <w:sz w:val="18"/>
      <w:szCs w:val="18"/>
    </w:rPr>
  </w:style>
  <w:style w:type="character" w:customStyle="1" w:styleId="16">
    <w:name w:val="页眉 字符"/>
    <w:link w:val="6"/>
    <w:autoRedefine/>
    <w:qFormat/>
    <w:uiPriority w:val="0"/>
    <w:rPr>
      <w:kern w:val="2"/>
      <w:sz w:val="18"/>
      <w:szCs w:val="18"/>
    </w:rPr>
  </w:style>
  <w:style w:type="paragraph" w:customStyle="1" w:styleId="17">
    <w:name w:val="_Style 15"/>
    <w:basedOn w:val="1"/>
    <w:autoRedefine/>
    <w:qFormat/>
    <w:uiPriority w:val="0"/>
    <w:pPr>
      <w:widowControl/>
      <w:spacing w:after="160" w:line="240" w:lineRule="exact"/>
      <w:ind w:firstLine="420" w:firstLineChars="200"/>
      <w:jc w:val="left"/>
    </w:pPr>
  </w:style>
  <w:style w:type="character" w:customStyle="1" w:styleId="18">
    <w:name w:val="l-open"/>
    <w:autoRedefine/>
    <w:qFormat/>
    <w:uiPriority w:val="0"/>
  </w:style>
  <w:style w:type="character" w:customStyle="1" w:styleId="19">
    <w:name w:val="folder"/>
    <w:autoRedefine/>
    <w:qFormat/>
    <w:uiPriority w:val="0"/>
  </w:style>
  <w:style w:type="character" w:customStyle="1" w:styleId="20">
    <w:name w:val="file"/>
    <w:autoRedefine/>
    <w:qFormat/>
    <w:uiPriority w:val="0"/>
  </w:style>
  <w:style w:type="paragraph" w:customStyle="1" w:styleId="21">
    <w:name w:val="_Style 1"/>
    <w:basedOn w:val="1"/>
    <w:autoRedefine/>
    <w:qFormat/>
    <w:uiPriority w:val="0"/>
    <w:pPr>
      <w:widowControl/>
      <w:spacing w:after="160" w:line="240" w:lineRule="exact"/>
      <w:ind w:firstLine="420" w:firstLineChars="200"/>
      <w:jc w:val="left"/>
    </w:pPr>
    <w:rPr>
      <w:szCs w:val="20"/>
    </w:rPr>
  </w:style>
  <w:style w:type="paragraph" w:customStyle="1" w:styleId="22">
    <w:name w:val="Char"/>
    <w:basedOn w:val="1"/>
    <w:autoRedefine/>
    <w:qFormat/>
    <w:uiPriority w:val="0"/>
    <w:pPr>
      <w:widowControl/>
      <w:spacing w:after="160" w:line="240" w:lineRule="exact"/>
      <w:ind w:firstLine="420" w:firstLineChars="200"/>
      <w:jc w:val="left"/>
    </w:pPr>
  </w:style>
  <w:style w:type="paragraph" w:customStyle="1" w:styleId="23">
    <w:name w:val="_Style 5"/>
    <w:basedOn w:val="1"/>
    <w:autoRedefine/>
    <w:qFormat/>
    <w:uiPriority w:val="0"/>
    <w:pPr>
      <w:widowControl/>
      <w:spacing w:after="160" w:line="240" w:lineRule="exact"/>
      <w:ind w:firstLine="420" w:firstLineChars="200"/>
      <w:jc w:val="left"/>
    </w:pPr>
    <w:rPr>
      <w:szCs w:val="20"/>
    </w:rPr>
  </w:style>
  <w:style w:type="paragraph" w:customStyle="1" w:styleId="24">
    <w:name w:val="Char Char"/>
    <w:basedOn w:val="1"/>
    <w:autoRedefine/>
    <w:qFormat/>
    <w:uiPriority w:val="0"/>
    <w:pPr>
      <w:widowControl/>
      <w:spacing w:after="160" w:line="240" w:lineRule="exact"/>
      <w:ind w:firstLine="420" w:firstLineChars="200"/>
      <w:jc w:val="left"/>
    </w:pPr>
  </w:style>
  <w:style w:type="paragraph" w:customStyle="1" w:styleId="25">
    <w:name w:val="Char Char1"/>
    <w:basedOn w:val="1"/>
    <w:autoRedefine/>
    <w:qFormat/>
    <w:uiPriority w:val="0"/>
    <w:pPr>
      <w:widowControl/>
      <w:spacing w:after="160" w:line="240" w:lineRule="exact"/>
      <w:ind w:firstLine="420" w:firstLineChars="200"/>
      <w:jc w:val="left"/>
    </w:pPr>
  </w:style>
  <w:style w:type="character" w:customStyle="1" w:styleId="26">
    <w:name w:val="font11"/>
    <w:autoRedefine/>
    <w:qFormat/>
    <w:uiPriority w:val="0"/>
    <w:rPr>
      <w:rFonts w:hint="eastAsia" w:ascii="宋体" w:hAnsi="宋体" w:eastAsia="宋体" w:cs="宋体"/>
      <w:color w:val="000000"/>
      <w:sz w:val="20"/>
      <w:szCs w:val="20"/>
      <w:u w:val="none"/>
    </w:rPr>
  </w:style>
  <w:style w:type="paragraph" w:customStyle="1" w:styleId="27">
    <w:name w:val=" Char Char"/>
    <w:basedOn w:val="1"/>
    <w:autoRedefine/>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688</Words>
  <Characters>822</Characters>
  <Lines>147</Lines>
  <Paragraphs>157</Paragraphs>
  <TotalTime>3</TotalTime>
  <ScaleCrop>false</ScaleCrop>
  <LinksUpToDate>false</LinksUpToDate>
  <CharactersWithSpaces>844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2022-12-23T09:09:00Z</dcterms:created>
  <dc:creator>User</dc:creator>
  <cp:lastModifiedBy>阳明拍卖</cp:lastModifiedBy>
  <cp:lastPrinted>2025-11-01T06:16:00Z</cp:lastPrinted>
  <dcterms:modified xsi:type="dcterms:W3CDTF">2026-01-27T01:58:54Z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20D3D9A59BBB4B77AF2FEA4FEB75A553_13</vt:lpwstr>
  </property>
  <property fmtid="{D5CDD505-2E9C-101B-9397-08002B2CF9AE}" pid="4" name="KSOTemplateDocerSaveRecord">
    <vt:lpwstr>eyJoZGlkIjoiOGIwNjJlMjM1MTllYjA5MGI1OTZlOTJmNzg5OWQ2YzEiLCJ1c2VySWQiOiI2NDI4NjU5NTMifQ==</vt:lpwstr>
  </property>
</Properties>
</file>