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38DDD">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14:paraId="5EF55765">
      <w:pPr>
        <w:spacing w:line="440" w:lineRule="atLeast"/>
        <w:jc w:val="center"/>
        <w:rPr>
          <w:rFonts w:ascii="宋体" w:hAnsi="宋体"/>
          <w:b/>
          <w:color w:val="000000" w:themeColor="text1"/>
          <w:sz w:val="52"/>
          <w:szCs w:val="52"/>
          <w14:textFill>
            <w14:solidFill>
              <w14:schemeClr w14:val="tx1"/>
            </w14:solidFill>
          </w14:textFill>
        </w:rPr>
      </w:pPr>
    </w:p>
    <w:p w14:paraId="64B6B8F0">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197410A6">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6585BF6C">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4470C381">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6F145312">
      <w:pPr>
        <w:spacing w:line="440" w:lineRule="atLeast"/>
        <w:jc w:val="center"/>
        <w:rPr>
          <w:rFonts w:ascii="宋体" w:hAnsi="宋体"/>
          <w:b/>
          <w:bCs/>
          <w:color w:val="000000" w:themeColor="text1"/>
          <w:sz w:val="52"/>
          <w:szCs w:val="52"/>
          <w14:textFill>
            <w14:solidFill>
              <w14:schemeClr w14:val="tx1"/>
            </w14:solidFill>
          </w14:textFill>
        </w:rPr>
      </w:pPr>
    </w:p>
    <w:p w14:paraId="40914A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Times New Roman"/>
          <w:color w:val="000000" w:themeColor="text1"/>
          <w:kern w:val="0"/>
          <w:sz w:val="24"/>
          <w:szCs w:val="24"/>
          <w:lang w:val="en-US" w:eastAsia="zh-CN" w:bidi="ar-SA"/>
          <w14:textFill>
            <w14:solidFill>
              <w14:schemeClr w14:val="tx1"/>
            </w14:solidFill>
          </w14:textFill>
        </w:rPr>
        <w:t>余姚市牟山镇振华路23号等14套商铺租赁权</w:t>
      </w:r>
      <w:r>
        <w:rPr>
          <w:rFonts w:hint="eastAsia" w:ascii="宋体" w:hAnsi="宋体" w:cs="宋体"/>
          <w:color w:val="000000" w:themeColor="text1"/>
          <w:kern w:val="0"/>
          <w:sz w:val="24"/>
          <w14:textFill>
            <w14:solidFill>
              <w14:schemeClr w14:val="tx1"/>
            </w14:solidFill>
          </w14:textFill>
        </w:rPr>
        <w:t>拍卖会</w:t>
      </w:r>
    </w:p>
    <w:p w14:paraId="5C6B34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cs="Times New Roman"/>
          <w:color w:val="000000" w:themeColor="text1"/>
          <w:kern w:val="0"/>
          <w:sz w:val="24"/>
          <w:szCs w:val="24"/>
          <w:lang w:val="en-US" w:eastAsia="zh-CN" w:bidi="ar-SA"/>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s="Times New Roman"/>
          <w:color w:val="000000" w:themeColor="text1"/>
          <w:kern w:val="0"/>
          <w:sz w:val="24"/>
          <w:szCs w:val="24"/>
          <w:lang w:val="en-US" w:eastAsia="zh-CN" w:bidi="ar-SA"/>
          <w14:textFill>
            <w14:solidFill>
              <w14:schemeClr w14:val="tx1"/>
            </w14:solidFill>
          </w14:textFill>
        </w:rPr>
        <w:t>余姚市牟山镇振华路23号等14套商铺5年的租赁权</w:t>
      </w:r>
    </w:p>
    <w:p w14:paraId="597AAF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9月5日</w:t>
      </w:r>
      <w:r>
        <w:rPr>
          <w:rFonts w:hint="eastAsia" w:ascii="宋体" w:hAnsi="宋体" w:cs="宋体"/>
          <w:color w:val="000000" w:themeColor="text1"/>
          <w:kern w:val="0"/>
          <w:sz w:val="24"/>
          <w14:textFill>
            <w14:solidFill>
              <w14:schemeClr w14:val="tx1"/>
            </w14:solidFill>
          </w14:textFill>
        </w:rPr>
        <w:t>上午</w:t>
      </w:r>
      <w:r>
        <w:rPr>
          <w:rFonts w:hint="eastAsia" w:ascii="宋体" w:hAnsi="宋体" w:cs="宋体"/>
          <w:color w:val="000000" w:themeColor="text1"/>
          <w:kern w:val="0"/>
          <w:sz w:val="24"/>
          <w:lang w:eastAsia="zh-CN"/>
          <w14:textFill>
            <w14:solidFill>
              <w14:schemeClr w14:val="tx1"/>
            </w14:solidFill>
          </w14:textFill>
        </w:rPr>
        <w:t>9:30</w:t>
      </w:r>
    </w:p>
    <w:p w14:paraId="165A58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kern w:val="0"/>
          <w:sz w:val="24"/>
        </w:rPr>
        <w:t>余姚市</w:t>
      </w:r>
      <w:r>
        <w:rPr>
          <w:rFonts w:hint="eastAsia" w:ascii="宋体" w:hAnsi="宋体" w:eastAsia="宋体" w:cs="宋体"/>
          <w:kern w:val="0"/>
          <w:sz w:val="24"/>
          <w:lang w:eastAsia="zh-CN"/>
        </w:rPr>
        <w:t>政务服务中心</w:t>
      </w:r>
      <w:r>
        <w:rPr>
          <w:rFonts w:hint="eastAsia" w:ascii="宋体" w:hAnsi="宋体" w:eastAsia="宋体" w:cs="宋体"/>
          <w:sz w:val="24"/>
        </w:rPr>
        <w:t>（谭家岭东路2号）</w:t>
      </w:r>
      <w:r>
        <w:rPr>
          <w:rFonts w:hint="eastAsia" w:ascii="宋体" w:hAnsi="宋体" w:eastAsia="宋体" w:cs="宋体"/>
          <w:kern w:val="0"/>
          <w:sz w:val="24"/>
        </w:rPr>
        <w:t>4楼开标室&lt;</w:t>
      </w:r>
      <w:r>
        <w:rPr>
          <w:rFonts w:hint="eastAsia" w:ascii="宋体" w:hAnsi="宋体" w:eastAsia="宋体" w:cs="宋体"/>
          <w:kern w:val="0"/>
          <w:sz w:val="24"/>
          <w:lang w:val="en-US" w:eastAsia="zh-CN"/>
        </w:rPr>
        <w:t>1</w:t>
      </w:r>
      <w:r>
        <w:rPr>
          <w:rFonts w:hint="eastAsia" w:ascii="宋体" w:hAnsi="宋体" w:eastAsia="宋体" w:cs="宋体"/>
          <w:kern w:val="0"/>
          <w:sz w:val="24"/>
        </w:rPr>
        <w:t>&gt;</w:t>
      </w:r>
    </w:p>
    <w:p w14:paraId="314AA8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43EB25E5">
      <w:pPr>
        <w:spacing w:after="93" w:afterLines="30" w:line="500" w:lineRule="exact"/>
        <w:rPr>
          <w:rFonts w:ascii="宋体" w:hAnsi="宋体" w:cs="宋体"/>
          <w:b/>
          <w:color w:val="000000" w:themeColor="text1"/>
          <w:kern w:val="0"/>
          <w:sz w:val="24"/>
          <w14:textFill>
            <w14:solidFill>
              <w14:schemeClr w14:val="tx1"/>
            </w14:solidFill>
          </w14:textFill>
        </w:rPr>
      </w:pPr>
    </w:p>
    <w:p w14:paraId="33B15BA0">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46FD9691">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20107479">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w:t>
      </w:r>
      <w:r>
        <w:rPr>
          <w:rFonts w:hint="eastAsia" w:ascii="宋体" w:hAnsi="宋体"/>
          <w:color w:val="000000" w:themeColor="text1"/>
          <w:sz w:val="24"/>
          <w:lang w:eastAsia="zh-CN"/>
          <w14:textFill>
            <w14:solidFill>
              <w14:schemeClr w14:val="tx1"/>
            </w14:solidFill>
          </w14:textFill>
        </w:rPr>
        <w:t>余姚市谭家岭东路2号南雷大厦29楼</w:t>
      </w:r>
    </w:p>
    <w:p w14:paraId="74A4066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480" w:firstLineChars="200"/>
        <w:textAlignment w:val="auto"/>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62651915</w:t>
      </w: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sz w:val="24"/>
          <w:lang w:val="en-US" w:eastAsia="zh-CN"/>
          <w14:textFill>
            <w14:solidFill>
              <w14:schemeClr w14:val="tx1"/>
            </w14:solidFill>
          </w14:textFill>
        </w:rPr>
        <w:t>27</w:t>
      </w:r>
      <w:r>
        <w:rPr>
          <w:rFonts w:hint="eastAsia" w:ascii="宋体" w:hAnsi="宋体"/>
          <w:color w:val="000000" w:themeColor="text1"/>
          <w:sz w:val="24"/>
          <w14:textFill>
            <w14:solidFill>
              <w14:schemeClr w14:val="tx1"/>
            </w14:solidFill>
          </w14:textFill>
        </w:rPr>
        <w:t>24638       传真：0574-62651961</w:t>
      </w:r>
    </w:p>
    <w:p w14:paraId="6B4022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4261DA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42C14E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326C2C30">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4A62A33F">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6801811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2F0EEFD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761FE697">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0111EF1B">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拍卖标的</w:t>
      </w:r>
    </w:p>
    <w:tbl>
      <w:tblPr>
        <w:tblStyle w:val="4"/>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11"/>
        <w:gridCol w:w="1609"/>
        <w:gridCol w:w="1302"/>
        <w:gridCol w:w="1288"/>
        <w:gridCol w:w="1273"/>
        <w:gridCol w:w="1038"/>
        <w:gridCol w:w="743"/>
      </w:tblGrid>
      <w:tr w14:paraId="6C9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66" w:type="pct"/>
            <w:noWrap w:val="0"/>
            <w:vAlign w:val="center"/>
          </w:tcPr>
          <w:p w14:paraId="2B47ECE9">
            <w:pPr>
              <w:keepNext w:val="0"/>
              <w:keepLines w:val="0"/>
              <w:pageBreakBefore w:val="0"/>
              <w:kinsoku/>
              <w:wordWrap/>
              <w:overflowPunct/>
              <w:topLinePunct w:val="0"/>
              <w:autoSpaceDE/>
              <w:autoSpaceDN/>
              <w:bidi w:val="0"/>
              <w:adjustRightInd/>
              <w:snapToGrid/>
              <w:spacing w:line="400" w:lineRule="exact"/>
              <w:ind w:left="-178" w:leftChars="-85" w:right="-107" w:rightChars="-51"/>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标的</w:t>
            </w:r>
            <w:r>
              <w:rPr>
                <w:rFonts w:hint="eastAsia" w:ascii="宋体" w:hAnsi="宋体" w:eastAsia="宋体" w:cs="宋体"/>
                <w:b/>
                <w:bCs/>
                <w:color w:val="000000" w:themeColor="text1"/>
                <w:sz w:val="21"/>
                <w:szCs w:val="21"/>
                <w:lang w:eastAsia="zh-CN"/>
                <w14:textFill>
                  <w14:solidFill>
                    <w14:schemeClr w14:val="tx1"/>
                  </w14:solidFill>
                </w14:textFill>
              </w:rPr>
              <w:t>物</w:t>
            </w:r>
          </w:p>
        </w:tc>
        <w:tc>
          <w:tcPr>
            <w:tcW w:w="1082" w:type="pct"/>
            <w:noWrap w:val="0"/>
            <w:vAlign w:val="center"/>
          </w:tcPr>
          <w:p w14:paraId="384CAF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坐 落</w:t>
            </w:r>
          </w:p>
        </w:tc>
        <w:tc>
          <w:tcPr>
            <w:tcW w:w="787" w:type="pct"/>
            <w:noWrap w:val="0"/>
            <w:vAlign w:val="center"/>
          </w:tcPr>
          <w:p w14:paraId="0A224EBD">
            <w:pPr>
              <w:keepNext w:val="0"/>
              <w:keepLines w:val="0"/>
              <w:pageBreakBefore w:val="0"/>
              <w:kinsoku/>
              <w:wordWrap/>
              <w:overflowPunct/>
              <w:topLinePunct w:val="0"/>
              <w:autoSpaceDE/>
              <w:autoSpaceDN/>
              <w:bidi w:val="0"/>
              <w:adjustRightInd/>
              <w:snapToGrid/>
              <w:spacing w:line="400" w:lineRule="exact"/>
              <w:ind w:left="125" w:leftChars="-51" w:right="-107" w:rightChars="-51" w:hanging="232" w:hangingChars="11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出租</w:t>
            </w:r>
            <w:r>
              <w:rPr>
                <w:rFonts w:hint="eastAsia" w:ascii="宋体" w:hAnsi="宋体" w:eastAsia="宋体" w:cs="宋体"/>
                <w:b/>
                <w:bCs/>
                <w:color w:val="000000" w:themeColor="text1"/>
                <w:sz w:val="21"/>
                <w:szCs w:val="21"/>
                <w14:textFill>
                  <w14:solidFill>
                    <w14:schemeClr w14:val="tx1"/>
                  </w14:solidFill>
                </w14:textFill>
              </w:rPr>
              <w:t>面积</w:t>
            </w:r>
          </w:p>
          <w:p w14:paraId="381C9CCA">
            <w:pPr>
              <w:keepNext w:val="0"/>
              <w:keepLines w:val="0"/>
              <w:pageBreakBefore w:val="0"/>
              <w:kinsoku/>
              <w:wordWrap/>
              <w:overflowPunct/>
              <w:topLinePunct w:val="0"/>
              <w:autoSpaceDE/>
              <w:autoSpaceDN/>
              <w:bidi w:val="0"/>
              <w:adjustRightInd/>
              <w:snapToGrid/>
              <w:spacing w:line="400" w:lineRule="exact"/>
              <w:ind w:left="-95" w:leftChars="-67" w:right="-107" w:rightChars="-51" w:hanging="46" w:hangingChars="22"/>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（平方米）</w:t>
            </w:r>
          </w:p>
        </w:tc>
        <w:tc>
          <w:tcPr>
            <w:tcW w:w="637" w:type="pct"/>
            <w:noWrap w:val="0"/>
            <w:vAlign w:val="center"/>
          </w:tcPr>
          <w:p w14:paraId="1C0E686C">
            <w:pPr>
              <w:keepNext w:val="0"/>
              <w:keepLines w:val="0"/>
              <w:pageBreakBefore w:val="0"/>
              <w:kinsoku/>
              <w:wordWrap/>
              <w:overflowPunct/>
              <w:topLinePunct w:val="0"/>
              <w:autoSpaceDE/>
              <w:autoSpaceDN/>
              <w:bidi w:val="0"/>
              <w:adjustRightInd/>
              <w:snapToGrid/>
              <w:spacing w:line="400" w:lineRule="exact"/>
              <w:ind w:left="-2" w:leftChars="-51" w:right="-107" w:rightChars="-51" w:hanging="105" w:hangingChars="5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出租年限</w:t>
            </w:r>
          </w:p>
          <w:p w14:paraId="5C80CA6B">
            <w:pPr>
              <w:keepNext w:val="0"/>
              <w:keepLines w:val="0"/>
              <w:pageBreakBefore w:val="0"/>
              <w:kinsoku/>
              <w:wordWrap/>
              <w:overflowPunct/>
              <w:topLinePunct w:val="0"/>
              <w:autoSpaceDE/>
              <w:autoSpaceDN/>
              <w:bidi w:val="0"/>
              <w:adjustRightInd/>
              <w:snapToGrid/>
              <w:spacing w:line="400" w:lineRule="exact"/>
              <w:ind w:left="-17" w:leftChars="-8" w:firstLine="105" w:firstLineChars="5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（年）</w:t>
            </w:r>
          </w:p>
        </w:tc>
        <w:tc>
          <w:tcPr>
            <w:tcW w:w="630" w:type="pct"/>
            <w:noWrap w:val="0"/>
            <w:vAlign w:val="center"/>
          </w:tcPr>
          <w:p w14:paraId="33BE3626">
            <w:pPr>
              <w:keepNext w:val="0"/>
              <w:keepLines w:val="0"/>
              <w:pageBreakBefore w:val="0"/>
              <w:kinsoku/>
              <w:wordWrap/>
              <w:overflowPunct/>
              <w:topLinePunct w:val="0"/>
              <w:autoSpaceDE/>
              <w:autoSpaceDN/>
              <w:bidi w:val="0"/>
              <w:adjustRightInd/>
              <w:snapToGrid/>
              <w:spacing w:line="400" w:lineRule="exact"/>
              <w:ind w:left="-17" w:leftChars="-8" w:firstLine="105" w:firstLineChars="5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起拍价</w:t>
            </w:r>
          </w:p>
          <w:p w14:paraId="5562BB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（元/年）</w:t>
            </w:r>
          </w:p>
        </w:tc>
        <w:tc>
          <w:tcPr>
            <w:tcW w:w="623" w:type="pct"/>
            <w:noWrap w:val="0"/>
            <w:vAlign w:val="center"/>
          </w:tcPr>
          <w:p w14:paraId="57509D4F">
            <w:pPr>
              <w:keepNext w:val="0"/>
              <w:keepLines w:val="0"/>
              <w:pageBreakBefore w:val="0"/>
              <w:kinsoku/>
              <w:wordWrap/>
              <w:overflowPunct/>
              <w:topLinePunct w:val="0"/>
              <w:autoSpaceDE/>
              <w:autoSpaceDN/>
              <w:bidi w:val="0"/>
              <w:adjustRightInd/>
              <w:snapToGrid/>
              <w:spacing w:line="400" w:lineRule="exact"/>
              <w:ind w:left="230" w:leftChars="-51" w:right="-107" w:rightChars="-51" w:hanging="337" w:hangingChars="16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竞买保证金</w:t>
            </w:r>
          </w:p>
          <w:p w14:paraId="561A22DF">
            <w:pPr>
              <w:keepNext w:val="0"/>
              <w:keepLines w:val="0"/>
              <w:pageBreakBefore w:val="0"/>
              <w:kinsoku/>
              <w:wordWrap/>
              <w:overflowPunct/>
              <w:topLinePunct w:val="0"/>
              <w:autoSpaceDE/>
              <w:autoSpaceDN/>
              <w:bidi w:val="0"/>
              <w:adjustRightInd/>
              <w:snapToGrid/>
              <w:spacing w:line="400" w:lineRule="exact"/>
              <w:ind w:left="181" w:leftChars="86"/>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（元）</w:t>
            </w:r>
          </w:p>
        </w:tc>
        <w:tc>
          <w:tcPr>
            <w:tcW w:w="508" w:type="pct"/>
            <w:noWrap w:val="0"/>
            <w:vAlign w:val="center"/>
          </w:tcPr>
          <w:p w14:paraId="4C42AF31">
            <w:pPr>
              <w:keepNext w:val="0"/>
              <w:keepLines w:val="0"/>
              <w:pageBreakBefore w:val="0"/>
              <w:kinsoku/>
              <w:wordWrap/>
              <w:overflowPunct/>
              <w:topLinePunct w:val="0"/>
              <w:autoSpaceDE/>
              <w:autoSpaceDN/>
              <w:bidi w:val="0"/>
              <w:adjustRightInd/>
              <w:snapToGrid/>
              <w:spacing w:line="400" w:lineRule="exact"/>
              <w:ind w:left="-107" w:leftChars="-52" w:right="-107" w:rightChars="-51" w:hanging="2" w:hangingChars="1"/>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证载</w:t>
            </w:r>
            <w:r>
              <w:rPr>
                <w:rFonts w:hint="eastAsia" w:ascii="宋体" w:hAnsi="宋体" w:eastAsia="宋体" w:cs="宋体"/>
                <w:b/>
                <w:bCs/>
                <w:color w:val="000000" w:themeColor="text1"/>
                <w:sz w:val="21"/>
                <w:szCs w:val="21"/>
                <w14:textFill>
                  <w14:solidFill>
                    <w14:schemeClr w14:val="tx1"/>
                  </w14:solidFill>
                </w14:textFill>
              </w:rPr>
              <w:t>用途</w:t>
            </w:r>
          </w:p>
        </w:tc>
        <w:tc>
          <w:tcPr>
            <w:tcW w:w="363" w:type="pct"/>
            <w:noWrap w:val="0"/>
            <w:vAlign w:val="center"/>
          </w:tcPr>
          <w:p w14:paraId="5A822BDD">
            <w:pPr>
              <w:keepNext w:val="0"/>
              <w:keepLines w:val="0"/>
              <w:pageBreakBefore w:val="0"/>
              <w:widowControl/>
              <w:kinsoku/>
              <w:wordWrap/>
              <w:overflowPunct/>
              <w:topLinePunct w:val="0"/>
              <w:autoSpaceDE/>
              <w:autoSpaceDN/>
              <w:bidi w:val="0"/>
              <w:adjustRightInd/>
              <w:snapToGrid/>
              <w:spacing w:line="400" w:lineRule="exact"/>
              <w:ind w:left="19" w:leftChars="-51" w:right="-101" w:rightChars="-48" w:hanging="126" w:hangingChars="6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现状</w:t>
            </w:r>
          </w:p>
        </w:tc>
      </w:tr>
      <w:tr w14:paraId="1FAF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51E81F81">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w:t>
            </w:r>
          </w:p>
        </w:tc>
        <w:tc>
          <w:tcPr>
            <w:tcW w:w="1082" w:type="pct"/>
            <w:noWrap w:val="0"/>
            <w:vAlign w:val="center"/>
          </w:tcPr>
          <w:p w14:paraId="226674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振华路23号</w:t>
            </w:r>
          </w:p>
        </w:tc>
        <w:tc>
          <w:tcPr>
            <w:tcW w:w="787" w:type="pct"/>
            <w:noWrap w:val="0"/>
            <w:vAlign w:val="center"/>
          </w:tcPr>
          <w:p w14:paraId="53B818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169.44 </w:t>
            </w:r>
          </w:p>
        </w:tc>
        <w:tc>
          <w:tcPr>
            <w:tcW w:w="637" w:type="pct"/>
            <w:vMerge w:val="restart"/>
            <w:noWrap w:val="0"/>
            <w:vAlign w:val="center"/>
          </w:tcPr>
          <w:p w14:paraId="0B5BE96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p w14:paraId="44902EA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14:paraId="2A3D28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14:paraId="3970F0F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c>
          <w:tcPr>
            <w:tcW w:w="630" w:type="pct"/>
            <w:noWrap w:val="0"/>
            <w:vAlign w:val="center"/>
          </w:tcPr>
          <w:p w14:paraId="665A9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34400 </w:t>
            </w:r>
          </w:p>
        </w:tc>
        <w:tc>
          <w:tcPr>
            <w:tcW w:w="623" w:type="pct"/>
            <w:noWrap w:val="0"/>
            <w:vAlign w:val="center"/>
          </w:tcPr>
          <w:p w14:paraId="600480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restart"/>
            <w:noWrap w:val="0"/>
            <w:vAlign w:val="center"/>
          </w:tcPr>
          <w:p w14:paraId="75219B9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商业</w:t>
            </w:r>
          </w:p>
        </w:tc>
        <w:tc>
          <w:tcPr>
            <w:tcW w:w="363" w:type="pct"/>
            <w:vMerge w:val="restart"/>
            <w:noWrap w:val="0"/>
            <w:vAlign w:val="center"/>
          </w:tcPr>
          <w:p w14:paraId="3BB1760A">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空置</w:t>
            </w:r>
          </w:p>
        </w:tc>
      </w:tr>
      <w:tr w14:paraId="391A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3678EC6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w:t>
            </w:r>
          </w:p>
        </w:tc>
        <w:tc>
          <w:tcPr>
            <w:tcW w:w="1082" w:type="pct"/>
            <w:noWrap w:val="0"/>
            <w:vAlign w:val="center"/>
          </w:tcPr>
          <w:p w14:paraId="2B596A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振华路24号</w:t>
            </w:r>
          </w:p>
        </w:tc>
        <w:tc>
          <w:tcPr>
            <w:tcW w:w="787" w:type="pct"/>
            <w:noWrap w:val="0"/>
            <w:vAlign w:val="center"/>
          </w:tcPr>
          <w:p w14:paraId="7D738A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115.36 </w:t>
            </w:r>
          </w:p>
        </w:tc>
        <w:tc>
          <w:tcPr>
            <w:tcW w:w="637" w:type="pct"/>
            <w:vMerge w:val="continue"/>
            <w:noWrap w:val="0"/>
            <w:vAlign w:val="center"/>
          </w:tcPr>
          <w:p w14:paraId="497D8D2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3032B9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23400 </w:t>
            </w:r>
          </w:p>
        </w:tc>
        <w:tc>
          <w:tcPr>
            <w:tcW w:w="623" w:type="pct"/>
            <w:noWrap w:val="0"/>
            <w:vAlign w:val="center"/>
          </w:tcPr>
          <w:p w14:paraId="6E847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0B7D7EB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331C6BD">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5C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3068627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w:t>
            </w:r>
          </w:p>
        </w:tc>
        <w:tc>
          <w:tcPr>
            <w:tcW w:w="1082" w:type="pct"/>
            <w:noWrap w:val="0"/>
            <w:vAlign w:val="center"/>
          </w:tcPr>
          <w:p w14:paraId="30089A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振华路25号</w:t>
            </w:r>
          </w:p>
        </w:tc>
        <w:tc>
          <w:tcPr>
            <w:tcW w:w="787" w:type="pct"/>
            <w:noWrap w:val="0"/>
            <w:vAlign w:val="center"/>
          </w:tcPr>
          <w:p w14:paraId="386921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120.05 </w:t>
            </w:r>
          </w:p>
        </w:tc>
        <w:tc>
          <w:tcPr>
            <w:tcW w:w="637" w:type="pct"/>
            <w:vMerge w:val="continue"/>
            <w:noWrap w:val="0"/>
            <w:vAlign w:val="center"/>
          </w:tcPr>
          <w:p w14:paraId="40F320E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345D9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24400 </w:t>
            </w:r>
          </w:p>
        </w:tc>
        <w:tc>
          <w:tcPr>
            <w:tcW w:w="623" w:type="pct"/>
            <w:noWrap w:val="0"/>
            <w:vAlign w:val="center"/>
          </w:tcPr>
          <w:p w14:paraId="1669C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66FE861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478BF4AA">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645C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68D40D2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4</w:t>
            </w:r>
          </w:p>
        </w:tc>
        <w:tc>
          <w:tcPr>
            <w:tcW w:w="1082" w:type="pct"/>
            <w:noWrap w:val="0"/>
            <w:vAlign w:val="center"/>
          </w:tcPr>
          <w:p w14:paraId="6BCDF1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振华路26号</w:t>
            </w:r>
          </w:p>
        </w:tc>
        <w:tc>
          <w:tcPr>
            <w:tcW w:w="787" w:type="pct"/>
            <w:noWrap w:val="0"/>
            <w:vAlign w:val="center"/>
          </w:tcPr>
          <w:p w14:paraId="0CFA57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120.49 </w:t>
            </w:r>
          </w:p>
        </w:tc>
        <w:tc>
          <w:tcPr>
            <w:tcW w:w="637" w:type="pct"/>
            <w:vMerge w:val="continue"/>
            <w:noWrap w:val="0"/>
            <w:vAlign w:val="center"/>
          </w:tcPr>
          <w:p w14:paraId="682042E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5D3612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22600 </w:t>
            </w:r>
          </w:p>
        </w:tc>
        <w:tc>
          <w:tcPr>
            <w:tcW w:w="623" w:type="pct"/>
            <w:noWrap w:val="0"/>
            <w:vAlign w:val="center"/>
          </w:tcPr>
          <w:p w14:paraId="01F393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59BBAA3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1DAEB0AA">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05CC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36D9B60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5</w:t>
            </w:r>
          </w:p>
        </w:tc>
        <w:tc>
          <w:tcPr>
            <w:tcW w:w="1082" w:type="pct"/>
            <w:shd w:val="clear" w:color="auto" w:fill="auto"/>
            <w:noWrap w:val="0"/>
            <w:vAlign w:val="center"/>
          </w:tcPr>
          <w:p w14:paraId="673522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28</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651E4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159.38 </w:t>
            </w:r>
          </w:p>
        </w:tc>
        <w:tc>
          <w:tcPr>
            <w:tcW w:w="637" w:type="pct"/>
            <w:vMerge w:val="continue"/>
            <w:shd w:val="clear" w:color="auto" w:fill="auto"/>
            <w:noWrap w:val="0"/>
            <w:vAlign w:val="center"/>
          </w:tcPr>
          <w:p w14:paraId="75C79AB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30927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29900 </w:t>
            </w:r>
          </w:p>
        </w:tc>
        <w:tc>
          <w:tcPr>
            <w:tcW w:w="623" w:type="pct"/>
            <w:shd w:val="clear" w:color="auto" w:fill="auto"/>
            <w:noWrap w:val="0"/>
            <w:vAlign w:val="center"/>
          </w:tcPr>
          <w:p w14:paraId="39B9F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7860F52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5A5D42B8">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4134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59D4C6A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w:t>
            </w:r>
          </w:p>
        </w:tc>
        <w:tc>
          <w:tcPr>
            <w:tcW w:w="1082" w:type="pct"/>
            <w:shd w:val="clear" w:color="auto" w:fill="auto"/>
            <w:noWrap w:val="0"/>
            <w:vAlign w:val="center"/>
          </w:tcPr>
          <w:p w14:paraId="1ECAA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29</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3D884A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245.46 </w:t>
            </w:r>
          </w:p>
        </w:tc>
        <w:tc>
          <w:tcPr>
            <w:tcW w:w="637" w:type="pct"/>
            <w:vMerge w:val="continue"/>
            <w:noWrap w:val="0"/>
            <w:vAlign w:val="center"/>
          </w:tcPr>
          <w:p w14:paraId="6647DFA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079B2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46100 </w:t>
            </w:r>
          </w:p>
        </w:tc>
        <w:tc>
          <w:tcPr>
            <w:tcW w:w="623" w:type="pct"/>
            <w:shd w:val="clear" w:color="auto" w:fill="auto"/>
            <w:noWrap w:val="0"/>
            <w:vAlign w:val="center"/>
          </w:tcPr>
          <w:p w14:paraId="5B5C7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36EEE34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21813ACE">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314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7F60707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7</w:t>
            </w:r>
          </w:p>
        </w:tc>
        <w:tc>
          <w:tcPr>
            <w:tcW w:w="1082" w:type="pct"/>
            <w:shd w:val="clear" w:color="auto" w:fill="auto"/>
            <w:noWrap w:val="0"/>
            <w:vAlign w:val="center"/>
          </w:tcPr>
          <w:p w14:paraId="2DCD54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31</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5B88B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174.39 </w:t>
            </w:r>
          </w:p>
        </w:tc>
        <w:tc>
          <w:tcPr>
            <w:tcW w:w="637" w:type="pct"/>
            <w:vMerge w:val="continue"/>
            <w:noWrap w:val="0"/>
            <w:vAlign w:val="center"/>
          </w:tcPr>
          <w:p w14:paraId="413503F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658A0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31800 </w:t>
            </w:r>
          </w:p>
        </w:tc>
        <w:tc>
          <w:tcPr>
            <w:tcW w:w="623" w:type="pct"/>
            <w:shd w:val="clear" w:color="auto" w:fill="auto"/>
            <w:noWrap w:val="0"/>
            <w:vAlign w:val="center"/>
          </w:tcPr>
          <w:p w14:paraId="3A3765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5D27499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340E7989">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3AAD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360013F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8</w:t>
            </w:r>
          </w:p>
        </w:tc>
        <w:tc>
          <w:tcPr>
            <w:tcW w:w="1082" w:type="pct"/>
            <w:shd w:val="clear" w:color="auto" w:fill="auto"/>
            <w:noWrap w:val="0"/>
            <w:vAlign w:val="center"/>
          </w:tcPr>
          <w:p w14:paraId="29096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33</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4DEE3F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124.03 </w:t>
            </w:r>
          </w:p>
        </w:tc>
        <w:tc>
          <w:tcPr>
            <w:tcW w:w="637" w:type="pct"/>
            <w:vMerge w:val="continue"/>
            <w:noWrap w:val="0"/>
            <w:vAlign w:val="center"/>
          </w:tcPr>
          <w:p w14:paraId="121F1FA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EDDA2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22600 </w:t>
            </w:r>
          </w:p>
        </w:tc>
        <w:tc>
          <w:tcPr>
            <w:tcW w:w="623" w:type="pct"/>
            <w:shd w:val="clear" w:color="auto" w:fill="auto"/>
            <w:noWrap w:val="0"/>
            <w:vAlign w:val="center"/>
          </w:tcPr>
          <w:p w14:paraId="6F7D61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6D012BA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4AE14966">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BDF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6372B03D">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9</w:t>
            </w:r>
          </w:p>
        </w:tc>
        <w:tc>
          <w:tcPr>
            <w:tcW w:w="1082" w:type="pct"/>
            <w:shd w:val="clear" w:color="auto" w:fill="auto"/>
            <w:noWrap w:val="0"/>
            <w:vAlign w:val="center"/>
          </w:tcPr>
          <w:p w14:paraId="751F9D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46AF5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110.39 </w:t>
            </w:r>
          </w:p>
        </w:tc>
        <w:tc>
          <w:tcPr>
            <w:tcW w:w="637" w:type="pct"/>
            <w:vMerge w:val="continue"/>
            <w:shd w:val="clear" w:color="auto" w:fill="auto"/>
            <w:noWrap w:val="0"/>
            <w:vAlign w:val="center"/>
          </w:tcPr>
          <w:p w14:paraId="6A84C27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1C545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19000 </w:t>
            </w:r>
          </w:p>
        </w:tc>
        <w:tc>
          <w:tcPr>
            <w:tcW w:w="623" w:type="pct"/>
            <w:shd w:val="clear" w:color="auto" w:fill="auto"/>
            <w:noWrap w:val="0"/>
            <w:vAlign w:val="center"/>
          </w:tcPr>
          <w:p w14:paraId="58415A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298C48C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7210FA09">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487A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391FC2A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10</w:t>
            </w:r>
          </w:p>
        </w:tc>
        <w:tc>
          <w:tcPr>
            <w:tcW w:w="1082" w:type="pct"/>
            <w:shd w:val="clear" w:color="auto" w:fill="auto"/>
            <w:noWrap w:val="0"/>
            <w:vAlign w:val="center"/>
          </w:tcPr>
          <w:p w14:paraId="665C6E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38</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8863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165.77 </w:t>
            </w:r>
          </w:p>
        </w:tc>
        <w:tc>
          <w:tcPr>
            <w:tcW w:w="637" w:type="pct"/>
            <w:vMerge w:val="continue"/>
            <w:noWrap w:val="0"/>
            <w:vAlign w:val="center"/>
          </w:tcPr>
          <w:p w14:paraId="720C140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5EBD69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26100 </w:t>
            </w:r>
          </w:p>
        </w:tc>
        <w:tc>
          <w:tcPr>
            <w:tcW w:w="623" w:type="pct"/>
            <w:shd w:val="clear" w:color="auto" w:fill="auto"/>
            <w:noWrap w:val="0"/>
            <w:vAlign w:val="center"/>
          </w:tcPr>
          <w:p w14:paraId="039500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2737530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65AE3C50">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012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6" w:type="pct"/>
            <w:noWrap w:val="0"/>
            <w:vAlign w:val="center"/>
          </w:tcPr>
          <w:p w14:paraId="515A9C9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11</w:t>
            </w:r>
          </w:p>
        </w:tc>
        <w:tc>
          <w:tcPr>
            <w:tcW w:w="1082" w:type="pct"/>
            <w:shd w:val="clear" w:color="auto" w:fill="auto"/>
            <w:noWrap w:val="0"/>
            <w:vAlign w:val="center"/>
          </w:tcPr>
          <w:p w14:paraId="771AFA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40</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130300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165.88 </w:t>
            </w:r>
          </w:p>
        </w:tc>
        <w:tc>
          <w:tcPr>
            <w:tcW w:w="637" w:type="pct"/>
            <w:vMerge w:val="continue"/>
            <w:shd w:val="clear" w:color="auto" w:fill="auto"/>
            <w:noWrap w:val="0"/>
            <w:vAlign w:val="center"/>
          </w:tcPr>
          <w:p w14:paraId="537C5DE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39C133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26200 </w:t>
            </w:r>
          </w:p>
        </w:tc>
        <w:tc>
          <w:tcPr>
            <w:tcW w:w="623" w:type="pct"/>
            <w:shd w:val="clear" w:color="auto" w:fill="auto"/>
            <w:noWrap w:val="0"/>
            <w:vAlign w:val="center"/>
          </w:tcPr>
          <w:p w14:paraId="451786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3622B4D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1B9ECF7F">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55CD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noWrap w:val="0"/>
            <w:vAlign w:val="center"/>
          </w:tcPr>
          <w:p w14:paraId="575139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12</w:t>
            </w:r>
          </w:p>
        </w:tc>
        <w:tc>
          <w:tcPr>
            <w:tcW w:w="1082" w:type="pct"/>
            <w:shd w:val="clear" w:color="auto" w:fill="auto"/>
            <w:noWrap w:val="0"/>
            <w:vAlign w:val="center"/>
          </w:tcPr>
          <w:p w14:paraId="4591C2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振中路5号</w:t>
            </w:r>
          </w:p>
        </w:tc>
        <w:tc>
          <w:tcPr>
            <w:tcW w:w="787" w:type="pct"/>
            <w:shd w:val="clear" w:color="auto" w:fill="auto"/>
            <w:noWrap w:val="0"/>
            <w:vAlign w:val="center"/>
          </w:tcPr>
          <w:p w14:paraId="7D62EF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67.60 </w:t>
            </w:r>
          </w:p>
        </w:tc>
        <w:tc>
          <w:tcPr>
            <w:tcW w:w="637" w:type="pct"/>
            <w:vMerge w:val="continue"/>
            <w:noWrap w:val="0"/>
            <w:vAlign w:val="center"/>
          </w:tcPr>
          <w:p w14:paraId="1D58DB7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05D16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13900 </w:t>
            </w:r>
          </w:p>
        </w:tc>
        <w:tc>
          <w:tcPr>
            <w:tcW w:w="623" w:type="pct"/>
            <w:shd w:val="clear" w:color="auto" w:fill="auto"/>
            <w:noWrap w:val="0"/>
            <w:vAlign w:val="center"/>
          </w:tcPr>
          <w:p w14:paraId="71C9E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48D88DC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355C4B35">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13CD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noWrap w:val="0"/>
            <w:vAlign w:val="center"/>
          </w:tcPr>
          <w:p w14:paraId="7FC506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13</w:t>
            </w:r>
          </w:p>
        </w:tc>
        <w:tc>
          <w:tcPr>
            <w:tcW w:w="1082" w:type="pct"/>
            <w:shd w:val="clear" w:color="auto" w:fill="auto"/>
            <w:noWrap w:val="0"/>
            <w:vAlign w:val="center"/>
          </w:tcPr>
          <w:p w14:paraId="047278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振中路6号</w:t>
            </w:r>
          </w:p>
        </w:tc>
        <w:tc>
          <w:tcPr>
            <w:tcW w:w="787" w:type="pct"/>
            <w:shd w:val="clear" w:color="auto" w:fill="auto"/>
            <w:noWrap w:val="0"/>
            <w:vAlign w:val="center"/>
          </w:tcPr>
          <w:p w14:paraId="59102A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188.33 </w:t>
            </w:r>
          </w:p>
        </w:tc>
        <w:tc>
          <w:tcPr>
            <w:tcW w:w="637" w:type="pct"/>
            <w:vMerge w:val="continue"/>
            <w:noWrap w:val="0"/>
            <w:vAlign w:val="center"/>
          </w:tcPr>
          <w:p w14:paraId="4B9C426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31B7FB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34400 </w:t>
            </w:r>
          </w:p>
        </w:tc>
        <w:tc>
          <w:tcPr>
            <w:tcW w:w="623" w:type="pct"/>
            <w:shd w:val="clear" w:color="auto" w:fill="auto"/>
            <w:noWrap w:val="0"/>
            <w:vAlign w:val="center"/>
          </w:tcPr>
          <w:p w14:paraId="3B6F92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0B97D1F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3B3CA98D">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2664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 w:type="dxa"/>
            <w:noWrap w:val="0"/>
            <w:vAlign w:val="center"/>
          </w:tcPr>
          <w:p w14:paraId="6FEDF57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14</w:t>
            </w:r>
          </w:p>
        </w:tc>
        <w:tc>
          <w:tcPr>
            <w:tcW w:w="1082" w:type="pct"/>
            <w:shd w:val="clear" w:color="auto" w:fill="auto"/>
            <w:noWrap w:val="0"/>
            <w:vAlign w:val="center"/>
          </w:tcPr>
          <w:p w14:paraId="4369DB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振中路23号</w:t>
            </w:r>
          </w:p>
        </w:tc>
        <w:tc>
          <w:tcPr>
            <w:tcW w:w="787" w:type="pct"/>
            <w:shd w:val="clear" w:color="auto" w:fill="auto"/>
            <w:noWrap w:val="0"/>
            <w:vAlign w:val="center"/>
          </w:tcPr>
          <w:p w14:paraId="5BDB31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312.25 </w:t>
            </w:r>
          </w:p>
        </w:tc>
        <w:tc>
          <w:tcPr>
            <w:tcW w:w="637" w:type="pct"/>
            <w:vMerge w:val="continue"/>
            <w:noWrap w:val="0"/>
            <w:vAlign w:val="center"/>
          </w:tcPr>
          <w:p w14:paraId="39426773">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3E067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53600 </w:t>
            </w:r>
          </w:p>
        </w:tc>
        <w:tc>
          <w:tcPr>
            <w:tcW w:w="623" w:type="pct"/>
            <w:shd w:val="clear" w:color="auto" w:fill="auto"/>
            <w:noWrap w:val="0"/>
            <w:vAlign w:val="center"/>
          </w:tcPr>
          <w:p w14:paraId="191EF1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3890BE0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4969D723">
            <w:pPr>
              <w:keepNext w:val="0"/>
              <w:keepLines w:val="0"/>
              <w:pageBreakBefore w:val="0"/>
              <w:widowControl w:val="0"/>
              <w:kinsoku/>
              <w:wordWrap/>
              <w:overflowPunct/>
              <w:topLinePunct w:val="0"/>
              <w:autoSpaceDE/>
              <w:autoSpaceDN/>
              <w:bidi w:val="0"/>
              <w:adjustRightInd/>
              <w:snapToGrid/>
              <w:spacing w:line="3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bl>
    <w:p w14:paraId="531BFED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w:t>
      </w:r>
      <w:r>
        <w:rPr>
          <w:rFonts w:hint="eastAsia" w:ascii="宋体" w:hAnsi="宋体" w:cs="宋体"/>
          <w:b/>
          <w:color w:val="000000" w:themeColor="text1"/>
          <w:kern w:val="0"/>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标的物按现状拍卖和交付，竞买人在拍卖前需自行现场踏勘、测算和核实拍卖标的，自行评估并承担相应的风险，</w:t>
      </w:r>
      <w:r>
        <w:rPr>
          <w:rFonts w:hint="eastAsia" w:ascii="宋体" w:hAnsi="宋体" w:cs="宋体"/>
          <w:color w:val="000000" w:themeColor="text1"/>
          <w:sz w:val="24"/>
          <w:lang w:eastAsia="zh-CN"/>
          <w14:textFill>
            <w14:solidFill>
              <w14:schemeClr w14:val="tx1"/>
            </w14:solidFill>
          </w14:textFill>
        </w:rPr>
        <w:t>委托双方</w:t>
      </w:r>
      <w:r>
        <w:rPr>
          <w:rFonts w:hint="eastAsia" w:ascii="宋体" w:hAnsi="宋体" w:cs="宋体"/>
          <w:color w:val="000000" w:themeColor="text1"/>
          <w:sz w:val="24"/>
          <w14:textFill>
            <w14:solidFill>
              <w14:schemeClr w14:val="tx1"/>
            </w14:solidFill>
          </w14:textFill>
        </w:rPr>
        <w:t>人均不承担拍卖标的的瑕疵担保责任，请竞买人慎重决定竞买行为。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675DF959">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129BBE9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房屋租赁合同</w:t>
      </w:r>
      <w:r>
        <w:rPr>
          <w:rFonts w:hint="eastAsia" w:ascii="宋体" w:hAnsi="宋体"/>
          <w:b/>
          <w:color w:val="000000" w:themeColor="text1"/>
          <w:sz w:val="24"/>
          <w14:textFill>
            <w14:solidFill>
              <w14:schemeClr w14:val="tx1"/>
            </w14:solidFill>
          </w14:textFill>
        </w:rPr>
        <w:t>（样本）》条款方可参加拍卖：</w:t>
      </w:r>
    </w:p>
    <w:p w14:paraId="47C442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60" w:firstLineChars="150"/>
        <w:textAlignment w:val="auto"/>
        <w:rPr>
          <w:rFonts w:hint="eastAsia" w:ascii="宋体" w:hAnsi="宋体" w:cs="宋体"/>
          <w:color w:val="000000" w:themeColor="text1"/>
          <w:kern w:val="0"/>
          <w:sz w:val="24"/>
          <w:highlight w:val="none"/>
          <w14:textFill>
            <w14:solidFill>
              <w14:schemeClr w14:val="tx1"/>
            </w14:solidFill>
          </w14:textFill>
        </w:rPr>
      </w:pPr>
      <w:bookmarkStart w:id="0" w:name="_Hlk122378508"/>
      <w:r>
        <w:rPr>
          <w:rFonts w:hint="eastAsia" w:ascii="宋体" w:hAnsi="宋体"/>
          <w:color w:val="000000" w:themeColor="text1"/>
          <w:sz w:val="24"/>
          <w:lang w:eastAsia="zh-CN"/>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签订《房屋租赁合同》</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由买受人向委托人支付</w:t>
      </w:r>
      <w:r>
        <w:rPr>
          <w:rFonts w:hint="eastAsia" w:ascii="宋体" w:hAnsi="宋体" w:cs="宋体"/>
          <w:b/>
          <w:bCs/>
          <w:color w:val="000000" w:themeColor="text1"/>
          <w:kern w:val="0"/>
          <w:sz w:val="24"/>
          <w14:textFill>
            <w14:solidFill>
              <w14:schemeClr w14:val="tx1"/>
            </w14:solidFill>
          </w14:textFill>
        </w:rPr>
        <w:t>履约保证金：按第</w:t>
      </w: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年租金成交价的20%收取（</w:t>
      </w:r>
      <w:r>
        <w:rPr>
          <w:rFonts w:hint="eastAsia" w:ascii="宋体" w:hAnsi="宋体" w:cs="宋体"/>
          <w:b/>
          <w:bCs/>
          <w:color w:val="000000" w:themeColor="text1"/>
          <w:kern w:val="0"/>
          <w:sz w:val="24"/>
          <w:lang w:eastAsia="zh-CN"/>
          <w14:textFill>
            <w14:solidFill>
              <w14:schemeClr w14:val="tx1"/>
            </w14:solidFill>
          </w14:textFill>
        </w:rPr>
        <w:t>四舍五入，</w:t>
      </w:r>
      <w:r>
        <w:rPr>
          <w:rFonts w:hint="eastAsia" w:ascii="宋体" w:hAnsi="宋体" w:cs="宋体"/>
          <w:b/>
          <w:bCs/>
          <w:color w:val="000000" w:themeColor="text1"/>
          <w:kern w:val="0"/>
          <w:sz w:val="24"/>
          <w14:textFill>
            <w14:solidFill>
              <w14:schemeClr w14:val="tx1"/>
            </w14:solidFill>
          </w14:textFill>
        </w:rPr>
        <w:t>整取到千位）</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履约保证金收取后，委托人应向买受人开具收款凭证。待租赁期满或合同解除时，且</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结清水、电、气、物业管理费等租赁期间费用，交还钥匙，并在工商登记注销或变更经营地后，由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一次性退还履约保证金（按银行同期活期存款利率计息）</w:t>
      </w:r>
      <w:r>
        <w:rPr>
          <w:rFonts w:hint="eastAsia" w:ascii="宋体" w:hAnsi="宋体" w:cs="宋体"/>
          <w:color w:val="000000" w:themeColor="text1"/>
          <w:kern w:val="0"/>
          <w:sz w:val="24"/>
          <w:highlight w:val="none"/>
          <w14:textFill>
            <w14:solidFill>
              <w14:schemeClr w14:val="tx1"/>
            </w14:solidFill>
          </w14:textFill>
        </w:rPr>
        <w:t>。</w:t>
      </w:r>
    </w:p>
    <w:p w14:paraId="32976D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租赁期间，如遇</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拖欠标的租金、水电费</w:t>
      </w:r>
      <w:r>
        <w:rPr>
          <w:rFonts w:hint="eastAsia" w:ascii="宋体" w:hAnsi="宋体"/>
          <w:color w:val="000000" w:themeColor="text1"/>
          <w:sz w:val="24"/>
          <w:highlight w:val="none"/>
          <w:lang w:eastAsia="zh-CN"/>
          <w14:textFill>
            <w14:solidFill>
              <w14:schemeClr w14:val="tx1"/>
            </w14:solidFill>
          </w14:textFill>
        </w:rPr>
        <w:t>等费用</w:t>
      </w:r>
      <w:r>
        <w:rPr>
          <w:rFonts w:hint="eastAsia" w:ascii="宋体" w:hAnsi="宋体"/>
          <w:color w:val="000000" w:themeColor="text1"/>
          <w:sz w:val="24"/>
          <w:highlight w:val="none"/>
          <w14:textFill>
            <w14:solidFill>
              <w14:schemeClr w14:val="tx1"/>
            </w14:solidFill>
          </w14:textFill>
        </w:rPr>
        <w:t>及发生其他违约情形时，</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有权从履约保证金中扣除相应费用，如遇履约保证金不足时，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应在接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通知后在10日内补足</w:t>
      </w:r>
      <w:r>
        <w:rPr>
          <w:rFonts w:hint="eastAsia" w:ascii="宋体" w:hAnsi="宋体" w:cs="宋体"/>
          <w:color w:val="000000" w:themeColor="text1"/>
          <w:kern w:val="0"/>
          <w:sz w:val="24"/>
          <w:highlight w:val="none"/>
          <w14:textFill>
            <w14:solidFill>
              <w14:schemeClr w14:val="tx1"/>
            </w14:solidFill>
          </w14:textFill>
        </w:rPr>
        <w:t>。</w:t>
      </w:r>
    </w:p>
    <w:p w14:paraId="36E83B68">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（二）租</w:t>
      </w:r>
      <w:r>
        <w:rPr>
          <w:rFonts w:hint="eastAsia" w:ascii="宋体" w:hAnsi="宋体"/>
          <w:color w:val="000000" w:themeColor="text1"/>
          <w:sz w:val="24"/>
          <w14:textFill>
            <w14:solidFill>
              <w14:schemeClr w14:val="tx1"/>
            </w14:solidFill>
          </w14:textFill>
        </w:rPr>
        <w:t>金实行按年支付、先付后用的原则</w:t>
      </w:r>
      <w:r>
        <w:rPr>
          <w:rFonts w:hint="eastAsia" w:ascii="Calibri" w:hAnsi="Calibri" w:cs="Calibri"/>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买受人应提前</w:t>
      </w:r>
      <w:r>
        <w:rPr>
          <w:rFonts w:hint="eastAsia" w:ascii="宋体" w:hAnsi="宋体"/>
          <w:color w:val="000000" w:themeColor="text1"/>
          <w:sz w:val="24"/>
          <w:lang w:val="en-US" w:eastAsia="zh-CN"/>
          <w14:textFill>
            <w14:solidFill>
              <w14:schemeClr w14:val="tx1"/>
            </w14:solidFill>
          </w14:textFill>
        </w:rPr>
        <w:t>1个月</w:t>
      </w:r>
      <w:r>
        <w:rPr>
          <w:rFonts w:hint="eastAsia" w:ascii="宋体" w:hAnsi="宋体"/>
          <w:color w:val="000000" w:themeColor="text1"/>
          <w:sz w:val="24"/>
          <w14:textFill>
            <w14:solidFill>
              <w14:schemeClr w14:val="tx1"/>
            </w14:solidFill>
          </w14:textFill>
        </w:rPr>
        <w:t>将下一年租金交至委托人</w:t>
      </w:r>
      <w:r>
        <w:rPr>
          <w:rFonts w:hint="eastAsia" w:ascii="宋体" w:hAnsi="宋体"/>
          <w:color w:val="000000" w:themeColor="text1"/>
          <w:sz w:val="24"/>
          <w:lang w:eastAsia="zh-CN"/>
          <w14:textFill>
            <w14:solidFill>
              <w14:schemeClr w14:val="tx1"/>
            </w14:solidFill>
          </w14:textFill>
        </w:rPr>
        <w:t>，同时按年支付物业管理费(1元/平方米/月）。</w:t>
      </w:r>
    </w:p>
    <w:p w14:paraId="6119846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未经委托人同意，买受人不得擅自将标的物转租、转借及分租。如遇特殊情况确需进行退租的，则买受人须提前2个月向委托人提出书面申请，经委托人同意后，方可办理退租手续；租期不足1个月的按1个月收取租金，剩余已付租金退还，但履约保证金不予退还。</w:t>
      </w:r>
    </w:p>
    <w:p w14:paraId="4A1BBB36">
      <w:pPr>
        <w:keepNext w:val="0"/>
        <w:keepLines w:val="0"/>
        <w:pageBreakBefore w:val="0"/>
        <w:kinsoku/>
        <w:wordWrap/>
        <w:overflowPunct/>
        <w:topLinePunct w:val="0"/>
        <w:autoSpaceDE/>
        <w:autoSpaceDN/>
        <w:bidi w:val="0"/>
        <w:adjustRightInd/>
        <w:snapToGrid/>
        <w:spacing w:line="500" w:lineRule="exact"/>
        <w:ind w:firstLine="360" w:firstLineChars="150"/>
        <w:textAlignment w:val="auto"/>
        <w:rPr>
          <w:rFonts w:hint="eastAsia"/>
          <w:color w:val="000000" w:themeColor="text1"/>
          <w:sz w:val="24"/>
          <w14:textFill>
            <w14:solidFill>
              <w14:schemeClr w14:val="tx1"/>
            </w14:solidFill>
          </w14:textFill>
        </w:rPr>
      </w:pPr>
      <w:r>
        <w:rPr>
          <w:rFonts w:hint="eastAsia" w:ascii="宋体" w:hAnsi="宋体" w:cs="宋体"/>
          <w:bCs/>
          <w:color w:val="000000" w:themeColor="text1"/>
          <w:kern w:val="0"/>
          <w:sz w:val="24"/>
          <w:szCs w:val="24"/>
          <w:lang w:eastAsia="zh-CN"/>
          <w14:textFill>
            <w14:solidFill>
              <w14:schemeClr w14:val="tx1"/>
            </w14:solidFill>
          </w14:textFill>
        </w:rPr>
        <w:t>（四）</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按标的</w:t>
      </w:r>
      <w:r>
        <w:rPr>
          <w:rFonts w:hint="eastAsia" w:ascii="宋体" w:hAnsi="宋体"/>
          <w:color w:val="000000" w:themeColor="text1"/>
          <w:sz w:val="24"/>
          <w:lang w:eastAsia="zh-CN"/>
          <w14:textFill>
            <w14:solidFill>
              <w14:schemeClr w14:val="tx1"/>
            </w14:solidFill>
          </w14:textFill>
        </w:rPr>
        <w:t>物</w:t>
      </w:r>
      <w:r>
        <w:rPr>
          <w:rFonts w:hint="eastAsia" w:ascii="宋体" w:hAnsi="宋体"/>
          <w:color w:val="000000" w:themeColor="text1"/>
          <w:sz w:val="24"/>
          <w14:textFill>
            <w14:solidFill>
              <w14:schemeClr w14:val="tx1"/>
            </w14:solidFill>
          </w14:textFill>
        </w:rPr>
        <w:t>的现状交付给</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使用，涉及经营的相关证照由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自行向有关部门申请办理，涉及的各项税费等由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自行承担，与</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无涉</w:t>
      </w:r>
      <w:r>
        <w:rPr>
          <w:rFonts w:hint="eastAsia"/>
          <w:color w:val="000000" w:themeColor="text1"/>
          <w:sz w:val="24"/>
          <w14:textFill>
            <w14:solidFill>
              <w14:schemeClr w14:val="tx1"/>
            </w14:solidFill>
          </w14:textFill>
        </w:rPr>
        <w:t>。</w:t>
      </w:r>
    </w:p>
    <w:p w14:paraId="6F8B6AF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360" w:firstLineChars="150"/>
        <w:jc w:val="both"/>
        <w:textAlignment w:val="auto"/>
        <w:rPr>
          <w:rFonts w:hint="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结合标的物现有结构属性以及无排烟管道等情形，同时考虑到消防安全隐患、环境污染等因素，委托人要求买受人的经营范围必须符合法律法规等相关规定，且不得从事酒吧、KTV、重餐饮等使用明火或易燃易爆品以及影响周边环境及危害标的物安全的经营活动，并保证在租赁期间严格遵守国家和委托人有关标的物使用的规定。</w:t>
      </w:r>
    </w:p>
    <w:bookmarkEnd w:id="0"/>
    <w:p w14:paraId="4AFAD4D3">
      <w:pPr>
        <w:keepNext w:val="0"/>
        <w:keepLines w:val="0"/>
        <w:pageBreakBefore w:val="0"/>
        <w:kinsoku/>
        <w:wordWrap/>
        <w:overflowPunct/>
        <w:topLinePunct w:val="0"/>
        <w:autoSpaceDE/>
        <w:autoSpaceDN/>
        <w:bidi w:val="0"/>
        <w:adjustRightInd/>
        <w:snapToGrid/>
        <w:spacing w:line="50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六</w:t>
      </w: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应严格按照</w:t>
      </w:r>
      <w:r>
        <w:rPr>
          <w:rFonts w:hint="eastAsia" w:ascii="Times New Roman" w:hAnsi="Times New Roman" w:eastAsia="宋体" w:cs="Times New Roman"/>
          <w:color w:val="000000" w:themeColor="text1"/>
          <w:sz w:val="24"/>
          <w:lang w:val="en-US" w:eastAsia="zh-CN"/>
          <w14:textFill>
            <w14:solidFill>
              <w14:schemeClr w14:val="tx1"/>
            </w14:solidFill>
          </w14:textFill>
        </w:rPr>
        <w:t>相关法律法规及相关</w:t>
      </w:r>
      <w:r>
        <w:rPr>
          <w:rFonts w:hint="eastAsia" w:ascii="Times New Roman" w:hAnsi="Times New Roman" w:eastAsia="宋体" w:cs="Times New Roman"/>
          <w:color w:val="000000" w:themeColor="text1"/>
          <w:sz w:val="24"/>
          <w14:textFill>
            <w14:solidFill>
              <w14:schemeClr w14:val="tx1"/>
            </w14:solidFill>
          </w14:textFill>
        </w:rPr>
        <w:t>管理部门要求做好</w:t>
      </w:r>
      <w:r>
        <w:rPr>
          <w:rFonts w:hint="eastAsia" w:ascii="Times New Roman" w:hAnsi="Times New Roman" w:eastAsia="宋体" w:cs="Times New Roman"/>
          <w:color w:val="000000" w:themeColor="text1"/>
          <w:sz w:val="24"/>
          <w:lang w:val="en-US" w:eastAsia="zh-CN"/>
          <w14:textFill>
            <w14:solidFill>
              <w14:schemeClr w14:val="tx1"/>
            </w14:solidFill>
          </w14:textFill>
        </w:rPr>
        <w:t>消防</w:t>
      </w:r>
      <w:r>
        <w:rPr>
          <w:rFonts w:hint="eastAsia" w:ascii="Times New Roman" w:hAnsi="Times New Roman" w:eastAsia="宋体" w:cs="Times New Roman"/>
          <w:color w:val="000000" w:themeColor="text1"/>
          <w:sz w:val="24"/>
          <w14:textFill>
            <w14:solidFill>
              <w14:schemeClr w14:val="tx1"/>
            </w14:solidFill>
          </w14:textFill>
        </w:rPr>
        <w:t>安全、</w:t>
      </w:r>
      <w:r>
        <w:rPr>
          <w:rFonts w:hint="eastAsia" w:ascii="Times New Roman" w:hAnsi="Times New Roman" w:eastAsia="宋体" w:cs="Times New Roman"/>
          <w:color w:val="000000" w:themeColor="text1"/>
          <w:sz w:val="24"/>
          <w:lang w:val="en-US" w:eastAsia="zh-CN"/>
          <w14:textFill>
            <w14:solidFill>
              <w14:schemeClr w14:val="tx1"/>
            </w14:solidFill>
          </w14:textFill>
        </w:rPr>
        <w:t>电气安全、</w:t>
      </w:r>
      <w:r>
        <w:rPr>
          <w:rFonts w:hint="eastAsia" w:ascii="Times New Roman" w:hAnsi="Times New Roman" w:eastAsia="宋体" w:cs="Times New Roman"/>
          <w:color w:val="000000" w:themeColor="text1"/>
          <w:sz w:val="24"/>
          <w14:textFill>
            <w14:solidFill>
              <w14:schemeClr w14:val="tx1"/>
            </w14:solidFill>
          </w14:textFill>
        </w:rPr>
        <w:t>环保</w:t>
      </w:r>
      <w:r>
        <w:rPr>
          <w:rFonts w:hint="eastAsia" w:ascii="Times New Roman" w:hAnsi="Times New Roman" w:eastAsia="宋体" w:cs="Times New Roman"/>
          <w:color w:val="000000" w:themeColor="text1"/>
          <w:sz w:val="24"/>
          <w:lang w:val="en-US" w:eastAsia="zh-CN"/>
          <w14:textFill>
            <w14:solidFill>
              <w14:schemeClr w14:val="tx1"/>
            </w14:solidFill>
          </w14:textFill>
        </w:rPr>
        <w:t>安全</w:t>
      </w:r>
      <w:r>
        <w:rPr>
          <w:rFonts w:hint="eastAsia" w:ascii="Times New Roman" w:hAnsi="Times New Roman" w:eastAsia="宋体" w:cs="Times New Roman"/>
          <w:color w:val="000000" w:themeColor="text1"/>
          <w:sz w:val="24"/>
          <w14:textFill>
            <w14:solidFill>
              <w14:schemeClr w14:val="tx1"/>
            </w14:solidFill>
          </w14:textFill>
        </w:rPr>
        <w:t>等相关工作，因</w:t>
      </w:r>
      <w:r>
        <w:rPr>
          <w:rFonts w:hint="eastAsia" w:ascii="Times New Roman" w:hAnsi="Times New Roman" w:eastAsia="宋体" w:cs="Times New Roman"/>
          <w:color w:val="000000" w:themeColor="text1"/>
          <w:sz w:val="24"/>
          <w:lang w:val="en-US" w:eastAsia="zh-CN"/>
          <w14:textFill>
            <w14:solidFill>
              <w14:schemeClr w14:val="tx1"/>
            </w14:solidFill>
          </w14:textFill>
        </w:rPr>
        <w:t>设备设施配置不到位、管理</w:t>
      </w:r>
      <w:r>
        <w:rPr>
          <w:rFonts w:hint="eastAsia" w:ascii="Times New Roman" w:hAnsi="Times New Roman" w:eastAsia="宋体" w:cs="Times New Roman"/>
          <w:color w:val="000000" w:themeColor="text1"/>
          <w:sz w:val="24"/>
          <w14:textFill>
            <w14:solidFill>
              <w14:schemeClr w14:val="tx1"/>
            </w14:solidFill>
          </w14:textFill>
        </w:rPr>
        <w:t>工作措施不到位而</w:t>
      </w:r>
      <w:r>
        <w:rPr>
          <w:rFonts w:hint="eastAsia" w:ascii="Times New Roman" w:hAnsi="Times New Roman" w:eastAsia="宋体" w:cs="Times New Roman"/>
          <w:color w:val="000000" w:themeColor="text1"/>
          <w:sz w:val="24"/>
          <w:lang w:val="en-US" w:eastAsia="zh-CN"/>
          <w14:textFill>
            <w14:solidFill>
              <w14:schemeClr w14:val="tx1"/>
            </w14:solidFill>
          </w14:textFill>
        </w:rPr>
        <w:t>发</w:t>
      </w:r>
      <w:r>
        <w:rPr>
          <w:rFonts w:hint="eastAsia" w:ascii="Times New Roman" w:hAnsi="Times New Roman" w:eastAsia="宋体" w:cs="Times New Roman"/>
          <w:color w:val="000000" w:themeColor="text1"/>
          <w:sz w:val="24"/>
          <w14:textFill>
            <w14:solidFill>
              <w14:schemeClr w14:val="tx1"/>
            </w14:solidFill>
          </w14:textFill>
        </w:rPr>
        <w:t>生</w:t>
      </w:r>
      <w:r>
        <w:rPr>
          <w:rFonts w:hint="eastAsia" w:ascii="Times New Roman" w:hAnsi="Times New Roman" w:eastAsia="宋体" w:cs="Times New Roman"/>
          <w:color w:val="000000" w:themeColor="text1"/>
          <w:sz w:val="24"/>
          <w:lang w:val="en-US" w:eastAsia="zh-CN"/>
          <w14:textFill>
            <w14:solidFill>
              <w14:schemeClr w14:val="tx1"/>
            </w14:solidFill>
          </w14:textFill>
        </w:rPr>
        <w:t>安全生产</w:t>
      </w:r>
      <w:r>
        <w:rPr>
          <w:rFonts w:hint="eastAsia" w:ascii="Times New Roman" w:hAnsi="Times New Roman" w:eastAsia="宋体" w:cs="Times New Roman"/>
          <w:color w:val="000000" w:themeColor="text1"/>
          <w:sz w:val="24"/>
          <w14:textFill>
            <w14:solidFill>
              <w14:schemeClr w14:val="tx1"/>
            </w14:solidFill>
          </w14:textFill>
        </w:rPr>
        <w:t>责任事故</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火灾事故造成经济</w:t>
      </w:r>
      <w:r>
        <w:rPr>
          <w:rFonts w:hint="eastAsia" w:ascii="Times New Roman" w:hAnsi="Times New Roman" w:eastAsia="宋体" w:cs="Times New Roman"/>
          <w:color w:val="000000" w:themeColor="text1"/>
          <w:sz w:val="24"/>
          <w14:textFill>
            <w14:solidFill>
              <w14:schemeClr w14:val="tx1"/>
            </w14:solidFill>
          </w14:textFill>
        </w:rPr>
        <w:t>损失（包括第三方的经济责任）</w:t>
      </w:r>
      <w:r>
        <w:rPr>
          <w:rFonts w:hint="eastAsia" w:ascii="Times New Roman" w:hAnsi="Times New Roman" w:eastAsia="宋体" w:cs="Times New Roman"/>
          <w:color w:val="000000" w:themeColor="text1"/>
          <w:sz w:val="24"/>
          <w:lang w:val="en-US" w:eastAsia="zh-CN"/>
          <w14:textFill>
            <w14:solidFill>
              <w14:schemeClr w14:val="tx1"/>
            </w14:solidFill>
          </w14:textFill>
        </w:rPr>
        <w:t>均</w:t>
      </w:r>
      <w:r>
        <w:rPr>
          <w:rFonts w:hint="eastAsia" w:ascii="Times New Roman" w:hAnsi="Times New Roman" w:eastAsia="宋体" w:cs="Times New Roman"/>
          <w:color w:val="000000" w:themeColor="text1"/>
          <w:sz w:val="24"/>
          <w14:textFill>
            <w14:solidFill>
              <w14:schemeClr w14:val="tx1"/>
            </w14:solidFill>
          </w14:textFill>
        </w:rPr>
        <w:t>由</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承担，与</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无涉。</w:t>
      </w:r>
    </w:p>
    <w:p w14:paraId="0DBB8960">
      <w:pPr>
        <w:keepNext w:val="0"/>
        <w:keepLines w:val="0"/>
        <w:pageBreakBefore w:val="0"/>
        <w:kinsoku/>
        <w:wordWrap/>
        <w:overflowPunct/>
        <w:topLinePunct w:val="0"/>
        <w:autoSpaceDE/>
        <w:autoSpaceDN/>
        <w:bidi w:val="0"/>
        <w:adjustRightInd/>
        <w:snapToGrid/>
        <w:spacing w:line="50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七</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装修时不得在</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内任意改变主体结构，需要对</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外立面和内部装修改造时，须将设计方案报</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备案，若需经相关职能部门批准的，由</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自行办理相关审批手续并承担费用；同时</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应将自行装修的图纸给予</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一份，并承诺自行装修的</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安全牢固，符合安全要求。</w:t>
      </w:r>
    </w:p>
    <w:p w14:paraId="12F8A1F8">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八</w:t>
      </w:r>
      <w:r>
        <w:rPr>
          <w:rFonts w:hint="eastAsia"/>
          <w:color w:val="000000" w:themeColor="text1"/>
          <w:sz w:val="24"/>
          <w14:textFill>
            <w14:solidFill>
              <w14:schemeClr w14:val="tx1"/>
            </w14:solidFill>
          </w14:textFill>
        </w:rPr>
        <w:t>）租赁期间，如遇政府征收（收购）拆迁改造和城市建设施工或城市基础设施改造施工等，则须提前</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个月书面通知</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应无条件服从并及时归还标的，</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不承担违约责任和任何形式的补偿。租金按照实际使用时间计算，多退少补，</w:t>
      </w:r>
      <w:r>
        <w:rPr>
          <w:rFonts w:hint="eastAsia"/>
          <w:color w:val="000000" w:themeColor="text1"/>
          <w:sz w:val="24"/>
          <w:lang w:eastAsia="zh-CN"/>
          <w14:textFill>
            <w14:solidFill>
              <w14:schemeClr w14:val="tx1"/>
            </w14:solidFill>
          </w14:textFill>
        </w:rPr>
        <w:t>且</w:t>
      </w:r>
      <w:r>
        <w:rPr>
          <w:rFonts w:hint="eastAsia"/>
          <w:color w:val="000000" w:themeColor="text1"/>
          <w:sz w:val="24"/>
          <w14:textFill>
            <w14:solidFill>
              <w14:schemeClr w14:val="tx1"/>
            </w14:solidFill>
          </w14:textFill>
        </w:rPr>
        <w:t>履约保证金予以返还。</w:t>
      </w:r>
    </w:p>
    <w:p w14:paraId="21339C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如遇政</w:t>
      </w:r>
      <w:r>
        <w:rPr>
          <w:rFonts w:hint="eastAsia" w:ascii="Times New Roman" w:hAnsi="Times New Roman" w:eastAsia="宋体" w:cs="Times New Roman"/>
          <w:color w:val="000000" w:themeColor="text1"/>
          <w:sz w:val="24"/>
          <w14:textFill>
            <w14:solidFill>
              <w14:schemeClr w14:val="tx1"/>
            </w14:solidFill>
          </w14:textFill>
        </w:rPr>
        <w:t>府征收（收购）拆迁改造和城市建设施工或城市基础设施改造施工等其他所有拆迁补偿费用归</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所有，但</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自行装修和添置的设施设备政府补偿归</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所有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并且</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不作任何补偿</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35655CFB">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九</w:t>
      </w:r>
      <w:r>
        <w:rPr>
          <w:rFonts w:hint="eastAsia" w:ascii="Times New Roman" w:hAnsi="Times New Roman" w:eastAsia="宋体" w:cs="Times New Roman"/>
          <w:color w:val="000000" w:themeColor="text1"/>
          <w:sz w:val="24"/>
          <w14:textFill>
            <w14:solidFill>
              <w14:schemeClr w14:val="tx1"/>
            </w14:solidFill>
          </w14:textFill>
        </w:rPr>
        <w:t>）买受人应在本合同的租期届满或提前解除合同后的10日内返还所租赁标的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标的及其附属设施自行处理，对逾期未搬的物品，委托人有权以废弃物予以处理。</w:t>
      </w:r>
    </w:p>
    <w:p w14:paraId="3C450D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返还标的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及其附属设施应当符合正常使用后的状态。返还时，应经</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验收签字认可，并相互结清各自应当承担的费用。</w:t>
      </w:r>
    </w:p>
    <w:p w14:paraId="0889AF16">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（十）其他内容详见《</w:t>
      </w:r>
      <w:r>
        <w:rPr>
          <w:rFonts w:hint="eastAsia" w:ascii="Times New Roman" w:hAnsi="Times New Roman" w:eastAsia="宋体" w:cs="Times New Roman"/>
          <w:color w:val="000000" w:themeColor="text1"/>
          <w:sz w:val="24"/>
          <w:lang w:eastAsia="zh-CN"/>
          <w14:textFill>
            <w14:solidFill>
              <w14:schemeClr w14:val="tx1"/>
            </w14:solidFill>
          </w14:textFill>
        </w:rPr>
        <w:t>房屋租赁合同</w:t>
      </w:r>
      <w:r>
        <w:rPr>
          <w:rFonts w:hint="eastAsia" w:ascii="Times New Roman" w:hAnsi="Times New Roman" w:eastAsia="宋体" w:cs="Times New Roman"/>
          <w:color w:val="000000" w:themeColor="text1"/>
          <w:sz w:val="24"/>
          <w14:textFill>
            <w14:solidFill>
              <w14:schemeClr w14:val="tx1"/>
            </w14:solidFill>
          </w14:textFill>
        </w:rPr>
        <w:t>（样本）》。</w:t>
      </w:r>
    </w:p>
    <w:p w14:paraId="00435EF4">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0984B6EE">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FA30658">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587BB369">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决定中止、暂缓或终止委托拍卖的，则竞买人应当无条件的予以接受，交纳的竞买保证金予以退还(按银行同期活期存款利率计息），</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61A7DA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竞买人应在报名登记前按时、足额交纳竞买保证金（按银行同期活期存款利率计息）。</w:t>
      </w:r>
    </w:p>
    <w:p w14:paraId="2A532DA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546097F1">
      <w:pPr>
        <w:keepNext w:val="0"/>
        <w:keepLines w:val="0"/>
        <w:pageBreakBefore w:val="0"/>
        <w:widowControl w:val="0"/>
        <w:kinsoku/>
        <w:wordWrap/>
        <w:overflowPunct/>
        <w:topLinePunct w:val="0"/>
        <w:autoSpaceDE/>
        <w:autoSpaceDN/>
        <w:bidi w:val="0"/>
        <w:adjustRightInd/>
        <w:snapToGrid/>
        <w:spacing w:before="124" w:beforeLines="40" w:after="124" w:afterLines="40" w:line="52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3F4B5A3C">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2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本次拍卖标的经过规定的网络发布公告，并经实地展示</w:t>
      </w:r>
      <w:r>
        <w:rPr>
          <w:rFonts w:hint="default" w:ascii="宋体" w:hAnsi="宋体"/>
          <w:sz w:val="24"/>
        </w:rPr>
        <w:t>，由拍卖人主持，并在相关当事人和监管部门监督下进行。</w:t>
      </w:r>
      <w:r>
        <w:rPr>
          <w:rFonts w:hint="default" w:ascii="宋体" w:hAnsi="宋体"/>
          <w:b/>
          <w:bCs/>
          <w:sz w:val="24"/>
        </w:rPr>
        <w:t>竞买人凭身份证明及竞买保证金收据登记入场，每一个号牌限进</w:t>
      </w:r>
      <w:r>
        <w:rPr>
          <w:rFonts w:hint="eastAsia" w:ascii="宋体" w:hAnsi="宋体"/>
          <w:b/>
          <w:bCs/>
          <w:sz w:val="24"/>
          <w:lang w:val="en-US" w:eastAsia="zh-CN"/>
        </w:rPr>
        <w:t>2</w:t>
      </w:r>
      <w:r>
        <w:rPr>
          <w:rFonts w:hint="default" w:ascii="宋体" w:hAnsi="宋体"/>
          <w:b/>
          <w:bCs/>
          <w:sz w:val="24"/>
        </w:rPr>
        <w:t>人。</w:t>
      </w:r>
      <w:r>
        <w:rPr>
          <w:rFonts w:hint="default" w:ascii="宋体" w:hAnsi="宋体"/>
          <w:sz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3685C07B">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2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68718828">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39B5B044">
      <w:pPr>
        <w:keepNext w:val="0"/>
        <w:keepLines w:val="0"/>
        <w:pageBreakBefore w:val="0"/>
        <w:widowControl w:val="0"/>
        <w:tabs>
          <w:tab w:val="left" w:pos="1995"/>
        </w:tabs>
        <w:kinsoku/>
        <w:wordWrap/>
        <w:overflowPunct/>
        <w:topLinePunct w:val="0"/>
        <w:autoSpaceDE/>
        <w:autoSpaceDN/>
        <w:bidi w:val="0"/>
        <w:adjustRightInd/>
        <w:snapToGrid/>
        <w:spacing w:line="52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w:t>
      </w:r>
      <w:r>
        <w:rPr>
          <w:rFonts w:hint="eastAsia" w:ascii="宋体" w:hAnsi="宋体"/>
          <w:b/>
          <w:bCs/>
          <w:sz w:val="24"/>
          <w:lang w:eastAsia="zh-CN"/>
        </w:rPr>
        <w:t>，产生最终买受人</w:t>
      </w:r>
      <w:r>
        <w:rPr>
          <w:rFonts w:hint="default" w:ascii="宋体" w:hAnsi="宋体"/>
          <w:b/>
          <w:bCs/>
          <w:sz w:val="24"/>
        </w:rPr>
        <w:t>。</w:t>
      </w:r>
    </w:p>
    <w:p w14:paraId="6B88C834">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0150A036">
      <w:pPr>
        <w:keepNext w:val="0"/>
        <w:keepLines w:val="0"/>
        <w:pageBreakBefore w:val="0"/>
        <w:widowControl w:val="0"/>
        <w:tabs>
          <w:tab w:val="left" w:pos="1995"/>
        </w:tabs>
        <w:kinsoku/>
        <w:wordWrap/>
        <w:overflowPunct/>
        <w:topLinePunct w:val="0"/>
        <w:autoSpaceDE/>
        <w:autoSpaceDN/>
        <w:bidi w:val="0"/>
        <w:adjustRightInd/>
        <w:snapToGrid/>
        <w:spacing w:line="52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37A45D47">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570A4A53">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0AF3B0F8">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1F82FA6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0A76146D">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4C7764D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4C16817C">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未竞得拍卖标的的竞买人，在拍卖会结束后的3个工作日内，由拍卖人凭竞买人报名时登记的户名及账号退还竞买保证金（按银行同期活期存款利率计息）；买受人的竞买保证金凭《</w:t>
      </w:r>
      <w:r>
        <w:rPr>
          <w:rFonts w:hint="eastAsia" w:ascii="宋体" w:hAnsi="宋体" w:eastAsia="宋体" w:cs="Times New Roman"/>
          <w:color w:val="auto"/>
          <w:sz w:val="24"/>
          <w:u w:val="none"/>
          <w:lang w:val="en-US" w:eastAsia="zh-CN"/>
        </w:rPr>
        <w:t>房屋租赁</w:t>
      </w:r>
      <w:r>
        <w:rPr>
          <w:rFonts w:hint="eastAsia" w:ascii="宋体" w:hAnsi="宋体" w:eastAsia="宋体" w:cs="Times New Roman"/>
          <w:color w:val="auto"/>
          <w:sz w:val="24"/>
          <w:u w:val="none"/>
          <w:lang w:eastAsia="zh-CN"/>
        </w:rPr>
        <w:t>合同》复印件到拍卖人处退还（按银行同期活期存款利率计息）。</w:t>
      </w:r>
      <w:r>
        <w:rPr>
          <w:rFonts w:hint="eastAsia" w:ascii="宋体" w:hAnsi="宋体" w:eastAsia="宋体" w:cs="Times New Roman"/>
          <w:color w:val="auto"/>
          <w:sz w:val="24"/>
          <w:u w:val="none"/>
          <w:lang w:val="en-US" w:eastAsia="zh-CN"/>
        </w:rPr>
        <w:t xml:space="preserve">  </w:t>
      </w:r>
    </w:p>
    <w:p w14:paraId="12196DD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eastAsia="宋体" w:cs="Times New Roman"/>
          <w:b/>
          <w:bCs/>
          <w:color w:val="auto"/>
          <w:sz w:val="24"/>
          <w:u w:val="none"/>
          <w:lang w:eastAsia="zh-CN"/>
        </w:rPr>
        <w:t>如未收到竞买保证金的，请及时与拍卖人联系（0574-62727901）。</w:t>
      </w:r>
    </w:p>
    <w:p w14:paraId="6F31B3BB">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第十</w:t>
      </w:r>
      <w:r>
        <w:rPr>
          <w:rFonts w:hint="eastAsia" w:ascii="宋体" w:hAnsi="宋体" w:cs="宋体"/>
          <w:b/>
          <w:color w:val="000000" w:themeColor="text1"/>
          <w:kern w:val="0"/>
          <w:sz w:val="24"/>
          <w:lang w:eastAsia="zh-CN"/>
          <w14:textFill>
            <w14:solidFill>
              <w14:schemeClr w14:val="tx1"/>
            </w14:solidFill>
          </w14:textFill>
        </w:rPr>
        <w:t>四</w:t>
      </w:r>
      <w:r>
        <w:rPr>
          <w:rFonts w:hint="eastAsia" w:ascii="宋体" w:hAnsi="宋体" w:cs="宋体"/>
          <w:b/>
          <w:color w:val="000000" w:themeColor="text1"/>
          <w:kern w:val="0"/>
          <w:sz w:val="24"/>
          <w14:textFill>
            <w14:solidFill>
              <w14:schemeClr w14:val="tx1"/>
            </w14:solidFill>
          </w14:textFill>
        </w:rPr>
        <w:t>条  付款办法及签约时间:</w:t>
      </w: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cs="宋体"/>
          <w:b w:val="0"/>
          <w:bCs/>
          <w:color w:val="000000"/>
          <w:kern w:val="0"/>
          <w:sz w:val="24"/>
        </w:rPr>
        <w:t>买受人</w:t>
      </w:r>
      <w:r>
        <w:rPr>
          <w:rFonts w:hint="eastAsia" w:ascii="宋体" w:hAnsi="宋体" w:cs="宋体"/>
          <w:bCs/>
          <w:color w:val="000000"/>
          <w:kern w:val="0"/>
          <w:sz w:val="24"/>
        </w:rPr>
        <w:t>须在</w:t>
      </w:r>
      <w:r>
        <w:rPr>
          <w:rFonts w:hint="eastAsia" w:ascii="宋体" w:hAnsi="宋体" w:cs="宋体"/>
          <w:color w:val="000000"/>
          <w:kern w:val="0"/>
          <w:sz w:val="24"/>
          <w:lang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9月10日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拍卖</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5</w:t>
      </w:r>
      <w:r>
        <w:rPr>
          <w:rFonts w:ascii="宋体" w:hAnsi="宋体" w:cs="宋体"/>
          <w:color w:val="000000"/>
          <w:kern w:val="0"/>
          <w:sz w:val="24"/>
        </w:rPr>
        <w:t>%的买受佣金</w:t>
      </w:r>
      <w:r>
        <w:rPr>
          <w:rFonts w:hint="eastAsia" w:ascii="宋体" w:hAnsi="宋体" w:cs="宋体"/>
          <w:color w:val="000000"/>
          <w:kern w:val="0"/>
          <w:sz w:val="24"/>
          <w:lang w:eastAsia="zh-CN"/>
        </w:rPr>
        <w:t>，同时向委托人支付履约保证金</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9月11日-9月12日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房屋租赁</w:t>
      </w:r>
      <w:r>
        <w:rPr>
          <w:rFonts w:hint="eastAsia" w:ascii="宋体" w:hAnsi="宋体" w:cs="宋体"/>
          <w:color w:val="auto"/>
          <w:kern w:val="0"/>
          <w:sz w:val="24"/>
        </w:rPr>
        <w:t>合同》</w:t>
      </w:r>
      <w:r>
        <w:rPr>
          <w:rFonts w:hint="eastAsia" w:ascii="宋体" w:hAnsi="宋体" w:cs="宋体"/>
          <w:kern w:val="0"/>
          <w:sz w:val="24"/>
        </w:rPr>
        <w:t>。</w:t>
      </w:r>
    </w:p>
    <w:p w14:paraId="7DD492E9">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default" w:ascii="宋体" w:hAnsi="宋体"/>
          <w:b/>
          <w:bCs/>
          <w:color w:val="000000" w:themeColor="text1"/>
          <w:sz w:val="24"/>
          <w:lang w:eastAsia="zh-CN"/>
          <w14:textFill>
            <w14:solidFill>
              <w14:schemeClr w14:val="tx1"/>
            </w14:solidFill>
          </w14:textFill>
        </w:rPr>
      </w:pPr>
      <w:bookmarkStart w:id="1" w:name="_Hlk122379280"/>
      <w:r>
        <w:rPr>
          <w:rFonts w:hint="eastAsia"/>
          <w:b/>
          <w:color w:val="000000" w:themeColor="text1"/>
          <w:sz w:val="24"/>
          <w:lang w:eastAsia="zh-CN"/>
          <w14:textFill>
            <w14:solidFill>
              <w14:schemeClr w14:val="tx1"/>
            </w14:solidFill>
          </w14:textFill>
        </w:rPr>
        <w:t>第</w:t>
      </w:r>
      <w:r>
        <w:rPr>
          <w:rFonts w:hint="eastAsia"/>
          <w:b/>
          <w:color w:val="000000" w:themeColor="text1"/>
          <w:sz w:val="24"/>
          <w:lang w:val="en-US" w:eastAsia="zh-CN"/>
          <w14:textFill>
            <w14:solidFill>
              <w14:schemeClr w14:val="tx1"/>
            </w14:solidFill>
          </w14:textFill>
        </w:rPr>
        <w:t>1年租金</w:t>
      </w:r>
      <w:r>
        <w:rPr>
          <w:rFonts w:hint="eastAsia"/>
          <w:b/>
          <w:color w:val="000000" w:themeColor="text1"/>
          <w:sz w:val="24"/>
          <w:lang w:eastAsia="zh-CN"/>
          <w14:textFill>
            <w14:solidFill>
              <w14:schemeClr w14:val="tx1"/>
            </w14:solidFill>
          </w14:textFill>
        </w:rPr>
        <w:t>成交款及买受佣金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（户名：宁波阳明拍卖有限公司，开户行：中信银行余姚支行，账号：8114701084445008888）。</w:t>
      </w:r>
    </w:p>
    <w:p w14:paraId="2439AEFC">
      <w:pPr>
        <w:keepNext w:val="0"/>
        <w:keepLines w:val="0"/>
        <w:pageBreakBefore w:val="0"/>
        <w:widowControl w:val="0"/>
        <w:kinsoku/>
        <w:wordWrap/>
        <w:overflowPunct/>
        <w:topLinePunct w:val="0"/>
        <w:autoSpaceDE/>
        <w:autoSpaceDN/>
        <w:bidi w:val="0"/>
        <w:adjustRightInd/>
        <w:snapToGrid/>
        <w:spacing w:line="50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余姚市牟山湖开发有限公司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eastAsia="zh-CN"/>
          <w14:textFill>
            <w14:solidFill>
              <w14:schemeClr w14:val="tx1"/>
            </w14:solidFill>
          </w14:textFill>
        </w:rPr>
        <w:t>浦发银行</w:t>
      </w:r>
      <w:r>
        <w:rPr>
          <w:rFonts w:hint="default" w:ascii="宋体" w:hAnsi="宋体" w:eastAsia="宋体" w:cs="宋体"/>
          <w:color w:val="000000" w:themeColor="text1"/>
          <w:kern w:val="0"/>
          <w:sz w:val="24"/>
          <w:highlight w:val="none"/>
          <w:lang w:eastAsia="zh-CN"/>
          <w14:textFill>
            <w14:solidFill>
              <w14:schemeClr w14:val="tx1"/>
            </w14:solidFill>
          </w14:textFill>
        </w:rPr>
        <w:t>余姚支行；账号：</w:t>
      </w:r>
      <w:r>
        <w:rPr>
          <w:rFonts w:hint="eastAsia" w:ascii="宋体" w:hAnsi="宋体" w:cs="宋体"/>
          <w:color w:val="000000" w:themeColor="text1"/>
          <w:kern w:val="0"/>
          <w:sz w:val="24"/>
          <w:highlight w:val="none"/>
          <w:lang w:val="en-US" w:eastAsia="zh-CN"/>
          <w14:textFill>
            <w14:solidFill>
              <w14:schemeClr w14:val="tx1"/>
            </w14:solidFill>
          </w14:textFill>
        </w:rPr>
        <w:t>94060155260001583</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7E686617">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auto"/>
          <w:kern w:val="0"/>
          <w:sz w:val="24"/>
          <w:lang w:eastAsia="zh-CN"/>
        </w:rPr>
        <w:t>和第</w:t>
      </w:r>
      <w:r>
        <w:rPr>
          <w:rFonts w:hint="eastAsia" w:ascii="宋体" w:hAnsi="宋体" w:cs="宋体"/>
          <w:color w:val="auto"/>
          <w:kern w:val="0"/>
          <w:sz w:val="24"/>
          <w:lang w:val="en-US" w:eastAsia="zh-CN"/>
        </w:rPr>
        <w:t>1年租金</w:t>
      </w:r>
      <w:r>
        <w:rPr>
          <w:rFonts w:hint="eastAsia" w:ascii="宋体" w:hAnsi="宋体" w:cs="宋体"/>
          <w:color w:val="auto"/>
          <w:kern w:val="0"/>
          <w:sz w:val="24"/>
          <w:lang w:eastAsia="zh-CN"/>
        </w:rPr>
        <w:t>成交款收据</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租金发票</w:t>
      </w:r>
      <w:r>
        <w:rPr>
          <w:rFonts w:hint="eastAsia" w:ascii="宋体" w:hAnsi="宋体" w:cs="宋体"/>
          <w:color w:val="000000" w:themeColor="text1"/>
          <w:kern w:val="0"/>
          <w:sz w:val="24"/>
          <w:highlight w:val="none"/>
          <w14:textFill>
            <w14:solidFill>
              <w14:schemeClr w14:val="tx1"/>
            </w14:solidFill>
          </w14:textFill>
        </w:rPr>
        <w:t>由</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提供。</w:t>
      </w:r>
      <w:bookmarkEnd w:id="1"/>
    </w:p>
    <w:p w14:paraId="4D53D22E">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第十五条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eastAsia="zh-CN"/>
          <w14:textFill>
            <w14:solidFill>
              <w14:schemeClr w14:val="tx1"/>
            </w14:solidFill>
          </w14:textFill>
        </w:rPr>
        <w:t>房屋</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EBD92A">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6B9C31AA">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236FE305">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六</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租赁合同》后由委托人交付标的物</w:t>
      </w:r>
      <w:r>
        <w:rPr>
          <w:rFonts w:hint="eastAsia" w:ascii="宋体" w:hAnsi="宋体"/>
          <w:color w:val="000000" w:themeColor="text1"/>
          <w:sz w:val="24"/>
          <w:lang w:eastAsia="zh-CN"/>
          <w14:textFill>
            <w14:solidFill>
              <w14:schemeClr w14:val="tx1"/>
            </w14:solidFill>
          </w14:textFill>
        </w:rPr>
        <w:t>于</w:t>
      </w:r>
      <w:r>
        <w:rPr>
          <w:rFonts w:hint="eastAsia" w:ascii="宋体" w:hAnsi="宋体"/>
          <w:color w:val="000000" w:themeColor="text1"/>
          <w:sz w:val="24"/>
          <w14:textFill>
            <w14:solidFill>
              <w14:schemeClr w14:val="tx1"/>
            </w14:solidFill>
          </w14:textFill>
        </w:rPr>
        <w:t>买受人</w:t>
      </w:r>
      <w:r>
        <w:rPr>
          <w:rFonts w:hint="eastAsia" w:ascii="宋体" w:hAnsi="宋体"/>
          <w:bCs/>
          <w:color w:val="000000" w:themeColor="text1"/>
          <w:sz w:val="24"/>
          <w14:textFill>
            <w14:solidFill>
              <w14:schemeClr w14:val="tx1"/>
            </w14:solidFill>
          </w14:textFill>
        </w:rPr>
        <w:t>。</w:t>
      </w:r>
    </w:p>
    <w:p w14:paraId="09D4D7D7">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color w:val="000000" w:themeColor="text1"/>
          <w:lang w:eastAsia="zh-CN"/>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48EC11A7">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房屋</w:t>
      </w:r>
      <w:r>
        <w:rPr>
          <w:rFonts w:hint="eastAsia" w:ascii="宋体" w:hAnsi="宋体" w:cs="宋体"/>
          <w:color w:val="000000" w:themeColor="text1"/>
          <w:kern w:val="0"/>
          <w:sz w:val="24"/>
          <w14:textFill>
            <w14:solidFill>
              <w14:schemeClr w14:val="tx1"/>
            </w14:solidFill>
          </w14:textFill>
        </w:rPr>
        <w:t>租赁合同》，造成的损失由买受人赔偿。</w:t>
      </w:r>
    </w:p>
    <w:p w14:paraId="2A62C72F">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471F24DC">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九</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3B891C06">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w:t>
      </w:r>
      <w:r>
        <w:rPr>
          <w:rFonts w:hint="eastAsia" w:ascii="宋体" w:hAnsi="宋体" w:cs="宋体"/>
          <w:b/>
          <w:bCs/>
          <w:color w:val="000000" w:themeColor="text1"/>
          <w:kern w:val="0"/>
          <w:sz w:val="24"/>
          <w:lang w:eastAsia="zh-CN"/>
          <w14:textFill>
            <w14:solidFill>
              <w14:schemeClr w14:val="tx1"/>
            </w14:solidFill>
          </w14:textFill>
        </w:rPr>
        <w:t>二十</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76E30771">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themeColor="text1"/>
          <w:kern w:val="0"/>
          <w:sz w:val="24"/>
          <w14:textFill>
            <w14:solidFill>
              <w14:schemeClr w14:val="tx1"/>
            </w14:solidFill>
          </w14:textFill>
        </w:rPr>
      </w:pPr>
    </w:p>
    <w:p w14:paraId="00612D3B">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default" w:ascii="宋体" w:hAnsi="宋体"/>
          <w:b/>
          <w:sz w:val="28"/>
          <w:szCs w:val="28"/>
        </w:rPr>
        <w:t>会场纪律</w:t>
      </w:r>
    </w:p>
    <w:p w14:paraId="2A1EA1C5">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4C19AA53">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649BFC16">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032410E6">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7D27865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1EA14CEF">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324057D5">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5DBF5FC5">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53862B20">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default" w:ascii="宋体" w:hAnsi="宋体" w:cs="宋体"/>
          <w:kern w:val="0"/>
          <w:sz w:val="24"/>
        </w:rPr>
      </w:pPr>
      <w:r>
        <w:rPr>
          <w:rFonts w:hint="default" w:ascii="宋体" w:hAnsi="宋体" w:cs="宋体"/>
          <w:kern w:val="0"/>
          <w:sz w:val="24"/>
        </w:rPr>
        <w:t>九、理性应价，谨慎举牌。</w:t>
      </w:r>
    </w:p>
    <w:p w14:paraId="4B236DB4">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default" w:ascii="宋体" w:hAnsi="宋体" w:cs="宋体"/>
          <w:kern w:val="0"/>
          <w:sz w:val="24"/>
        </w:rPr>
      </w:pPr>
    </w:p>
    <w:p w14:paraId="5C50910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kern w:val="0"/>
          <w:sz w:val="24"/>
        </w:rPr>
      </w:pPr>
    </w:p>
    <w:p w14:paraId="6D43BDBA">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061D8A76">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8月28日</w:t>
      </w:r>
    </w:p>
    <w:p w14:paraId="532B7B26"/>
    <w:p w14:paraId="4DE966D2">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left"/>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附件：《房屋租赁合同（样本）》</w:t>
      </w:r>
    </w:p>
    <w:p w14:paraId="08F8DA38">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hint="eastAsia" w:ascii="仿宋_GB2312" w:hAnsi="宋体" w:eastAsia="仿宋_GB2312"/>
          <w:b/>
          <w:color w:val="000000"/>
          <w:sz w:val="44"/>
          <w:szCs w:val="44"/>
        </w:rPr>
      </w:pPr>
    </w:p>
    <w:p w14:paraId="68A368E6">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hint="eastAsia" w:ascii="仿宋_GB2312" w:hAnsi="宋体" w:eastAsia="仿宋_GB2312"/>
          <w:b/>
          <w:color w:val="000000"/>
          <w:sz w:val="44"/>
          <w:szCs w:val="44"/>
        </w:rPr>
      </w:pPr>
      <w:r>
        <w:rPr>
          <w:rFonts w:hint="eastAsia" w:ascii="仿宋_GB2312" w:hAnsi="宋体" w:eastAsia="仿宋_GB2312"/>
          <w:b/>
          <w:color w:val="000000"/>
          <w:sz w:val="44"/>
          <w:szCs w:val="44"/>
        </w:rPr>
        <w:t>房屋租赁合同（样本）</w:t>
      </w:r>
    </w:p>
    <w:p w14:paraId="4E889A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出</w:t>
      </w:r>
      <w:r>
        <w:rPr>
          <w:rFonts w:hint="eastAsia" w:ascii="仿宋_GB2312" w:hAnsi="宋体" w:eastAsia="仿宋_GB2312" w:cs="Times New Roman"/>
          <w:color w:val="000000"/>
          <w:sz w:val="28"/>
          <w:szCs w:val="28"/>
        </w:rPr>
        <w:t>租人：</w:t>
      </w:r>
      <w:r>
        <w:rPr>
          <w:rFonts w:hint="eastAsia" w:ascii="仿宋_GB2312" w:hAnsi="宋体" w:eastAsia="仿宋_GB2312" w:cs="Times New Roman"/>
          <w:color w:val="000000"/>
          <w:sz w:val="28"/>
          <w:szCs w:val="28"/>
          <w:lang w:eastAsia="zh-CN"/>
        </w:rPr>
        <w:t>余姚市牟山湖开发有限公司</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甲方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366710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承租人：                                     （以下简称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乙方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6BB27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根据《中华人民共和国民法典》、《中华人民共和国</w:t>
      </w:r>
      <w:r>
        <w:rPr>
          <w:rFonts w:hint="eastAsia" w:ascii="仿宋_GB2312" w:hAnsi="宋体" w:eastAsia="仿宋_GB2312"/>
          <w:color w:val="000000"/>
          <w:sz w:val="28"/>
          <w:szCs w:val="28"/>
          <w:lang w:eastAsia="zh-CN"/>
        </w:rPr>
        <w:t>城市</w:t>
      </w:r>
      <w:r>
        <w:rPr>
          <w:rFonts w:hint="eastAsia" w:ascii="仿宋_GB2312" w:hAnsi="宋体" w:eastAsia="仿宋_GB2312"/>
          <w:color w:val="000000"/>
          <w:sz w:val="28"/>
          <w:szCs w:val="28"/>
        </w:rPr>
        <w:t>房地产管理法》等法律、法规规定，甲、乙双方在自愿、公平和诚实信用的基础上，就房屋租赁事宜，经</w:t>
      </w:r>
      <w:r>
        <w:rPr>
          <w:rFonts w:hint="eastAsia" w:ascii="仿宋_GB2312" w:hAnsi="宋体" w:eastAsia="仿宋_GB2312"/>
          <w:color w:val="000000"/>
          <w:sz w:val="28"/>
          <w:szCs w:val="28"/>
          <w:lang w:eastAsia="zh-CN"/>
        </w:rPr>
        <w:t>公开拍卖确定</w:t>
      </w:r>
      <w:r>
        <w:rPr>
          <w:rFonts w:hint="eastAsia" w:ascii="仿宋_GB2312" w:hAnsi="宋体" w:eastAsia="仿宋_GB2312"/>
          <w:color w:val="000000"/>
          <w:sz w:val="28"/>
          <w:szCs w:val="28"/>
        </w:rPr>
        <w:t>，订立本合同。</w:t>
      </w:r>
    </w:p>
    <w:p w14:paraId="5C9EC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第一条  标的基本情况及用途</w:t>
      </w:r>
    </w:p>
    <w:p w14:paraId="5A15D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（一）甲方同意将位于</w:t>
      </w:r>
      <w:r>
        <w:rPr>
          <w:rFonts w:hint="eastAsia" w:ascii="仿宋_GB2312" w:hAnsi="仿宋" w:eastAsia="仿宋_GB2312" w:cs="仿宋"/>
          <w:color w:val="000000"/>
          <w:kern w:val="0"/>
          <w:sz w:val="28"/>
          <w:szCs w:val="28"/>
          <w:u w:val="single"/>
        </w:rPr>
        <w:t xml:space="preserve">                 </w:t>
      </w:r>
      <w:r>
        <w:rPr>
          <w:rFonts w:hint="eastAsia" w:ascii="仿宋_GB2312" w:hAnsi="宋体" w:eastAsia="仿宋_GB2312"/>
          <w:color w:val="000000"/>
          <w:sz w:val="28"/>
          <w:szCs w:val="28"/>
        </w:rPr>
        <w:t>（以下简称“标的”）出租给乙方使用。出租标的面积：约</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平方米</w:t>
      </w:r>
      <w:r>
        <w:rPr>
          <w:rFonts w:hint="eastAsia" w:ascii="仿宋_GB2312" w:hAnsi="宋体" w:eastAsia="仿宋_GB2312"/>
          <w:color w:val="000000"/>
          <w:sz w:val="28"/>
          <w:szCs w:val="28"/>
          <w:lang w:eastAsia="zh-CN"/>
        </w:rPr>
        <w:t>，证载用途：</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eastAsia="zh-CN"/>
        </w:rPr>
        <w:t>商业</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1C06B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（二）结合标的物现有结构属性以及无排烟管道等情形，同时考虑到消防安全隐患、环境污染等因素，</w:t>
      </w:r>
      <w:r>
        <w:rPr>
          <w:rFonts w:hint="eastAsia" w:ascii="仿宋_GB2312" w:hAnsi="宋体" w:eastAsia="仿宋_GB2312"/>
          <w:color w:val="000000"/>
          <w:sz w:val="28"/>
          <w:szCs w:val="28"/>
          <w:lang w:eastAsia="zh-CN"/>
        </w:rPr>
        <w:t>甲方</w:t>
      </w:r>
      <w:r>
        <w:rPr>
          <w:rFonts w:hint="eastAsia" w:ascii="仿宋_GB2312" w:hAnsi="宋体" w:eastAsia="仿宋_GB2312"/>
          <w:color w:val="000000"/>
          <w:sz w:val="28"/>
          <w:szCs w:val="28"/>
        </w:rPr>
        <w:t>要求</w:t>
      </w:r>
      <w:r>
        <w:rPr>
          <w:rFonts w:hint="eastAsia" w:ascii="仿宋_GB2312" w:hAnsi="宋体" w:eastAsia="仿宋_GB2312"/>
          <w:color w:val="000000"/>
          <w:sz w:val="28"/>
          <w:szCs w:val="28"/>
          <w:lang w:eastAsia="zh-CN"/>
        </w:rPr>
        <w:t>乙方</w:t>
      </w:r>
      <w:r>
        <w:rPr>
          <w:rFonts w:hint="eastAsia" w:ascii="仿宋_GB2312" w:hAnsi="宋体" w:eastAsia="仿宋_GB2312"/>
          <w:color w:val="000000"/>
          <w:sz w:val="28"/>
          <w:szCs w:val="28"/>
        </w:rPr>
        <w:t>的经营范围必须符合法律法规等相关规定，且不得从事酒吧、KTV、重餐饮等使用明火或易燃易爆品以及影响周边环境及危害标的物安全的经营活动，并保证在租赁期间严格遵守国家和</w:t>
      </w:r>
      <w:r>
        <w:rPr>
          <w:rFonts w:hint="eastAsia" w:ascii="仿宋_GB2312" w:hAnsi="宋体" w:eastAsia="仿宋_GB2312"/>
          <w:color w:val="000000"/>
          <w:sz w:val="28"/>
          <w:szCs w:val="28"/>
          <w:lang w:eastAsia="zh-CN"/>
        </w:rPr>
        <w:t>甲方</w:t>
      </w:r>
      <w:r>
        <w:rPr>
          <w:rFonts w:hint="eastAsia" w:ascii="仿宋_GB2312" w:hAnsi="宋体" w:eastAsia="仿宋_GB2312"/>
          <w:color w:val="000000"/>
          <w:sz w:val="28"/>
          <w:szCs w:val="28"/>
        </w:rPr>
        <w:t>有关标的物使用的规定。</w:t>
      </w:r>
    </w:p>
    <w:p w14:paraId="394E49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（三）甲方已告知乙方该标的设定抵押的情况：</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。租赁期间，甲方有权将该标的设定或再次设定为抵押物，乙方应予以配合。</w:t>
      </w:r>
    </w:p>
    <w:p w14:paraId="154FAB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175A4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第二条　租赁期限</w:t>
      </w:r>
    </w:p>
    <w:p w14:paraId="3393EA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（一）乙方租用标的的期限为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年，即自</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eastAsia="zh-CN"/>
        </w:rPr>
        <w:t>起</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日止。</w:t>
      </w:r>
    </w:p>
    <w:p w14:paraId="6F0858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第三条　租金、租金支付时间及方式</w:t>
      </w:r>
    </w:p>
    <w:p w14:paraId="5A495F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w:t>
      </w:r>
      <w:r>
        <w:rPr>
          <w:rFonts w:hint="eastAsia" w:ascii="仿宋_GB2312" w:hAnsi="宋体" w:eastAsia="仿宋_GB2312"/>
          <w:b/>
          <w:color w:val="000000"/>
          <w:sz w:val="28"/>
          <w:szCs w:val="28"/>
        </w:rPr>
        <w:t>租金：</w:t>
      </w:r>
      <w:r>
        <w:rPr>
          <w:rFonts w:hint="eastAsia" w:ascii="仿宋_GB2312" w:hAnsi="宋体" w:eastAsia="仿宋_GB2312"/>
          <w:color w:val="000000"/>
          <w:sz w:val="28"/>
          <w:szCs w:val="28"/>
        </w:rPr>
        <w:t>在本合同租期内，该标的年度租金为人民币</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元/年（大写：</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38E03A7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w:t>
      </w:r>
      <w:r>
        <w:rPr>
          <w:rFonts w:hint="eastAsia" w:ascii="仿宋_GB2312" w:hAnsi="宋体" w:eastAsia="仿宋_GB2312"/>
          <w:b/>
          <w:color w:val="000000"/>
          <w:sz w:val="28"/>
          <w:szCs w:val="28"/>
        </w:rPr>
        <w:t>租金支付时间</w:t>
      </w:r>
      <w:r>
        <w:rPr>
          <w:rFonts w:hint="eastAsia" w:ascii="仿宋_GB2312" w:hAnsi="宋体" w:eastAsia="仿宋_GB2312"/>
          <w:color w:val="000000"/>
          <w:sz w:val="28"/>
          <w:szCs w:val="28"/>
        </w:rPr>
        <w:t>：租金实行按年支付，先付后用的方式。第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年租金已在本合同签订前付清，第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 xml:space="preserve">年租金在第一年度到期前 </w:t>
      </w:r>
      <w:r>
        <w:rPr>
          <w:rFonts w:hint="eastAsia" w:ascii="仿宋_GB2312" w:hAnsi="宋体" w:eastAsia="仿宋_GB2312"/>
          <w:color w:val="000000"/>
          <w:sz w:val="28"/>
          <w:szCs w:val="28"/>
          <w:lang w:val="en-US" w:eastAsia="zh-CN"/>
        </w:rPr>
        <w:t>1个月</w:t>
      </w:r>
      <w:r>
        <w:rPr>
          <w:rFonts w:hint="eastAsia" w:ascii="仿宋_GB2312" w:hAnsi="宋体" w:eastAsia="仿宋_GB2312"/>
          <w:color w:val="000000"/>
          <w:sz w:val="28"/>
          <w:szCs w:val="28"/>
        </w:rPr>
        <w:t>内通过乙方账户缴纳至甲方账户，以此类推。</w:t>
      </w:r>
    </w:p>
    <w:p w14:paraId="5FB41A35">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收款单位：</w:t>
      </w:r>
      <w:r>
        <w:rPr>
          <w:rFonts w:hint="eastAsia" w:ascii="仿宋_GB2312" w:hAnsi="宋体" w:eastAsia="仿宋_GB2312" w:cs="Times New Roman"/>
          <w:color w:val="000000"/>
          <w:sz w:val="28"/>
          <w:szCs w:val="28"/>
          <w:lang w:eastAsia="zh-CN"/>
        </w:rPr>
        <w:t>余姚市牟山湖开发有限公司</w:t>
      </w:r>
    </w:p>
    <w:p w14:paraId="7008F5CB">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开户</w:t>
      </w:r>
      <w:r>
        <w:rPr>
          <w:rFonts w:hint="eastAsia" w:ascii="仿宋_GB2312" w:hAnsi="宋体" w:eastAsia="仿宋_GB2312" w:cs="Times New Roman"/>
          <w:color w:val="000000"/>
          <w:sz w:val="28"/>
          <w:szCs w:val="28"/>
        </w:rPr>
        <w:t>银行：</w:t>
      </w:r>
      <w:r>
        <w:rPr>
          <w:rFonts w:hint="eastAsia" w:ascii="仿宋_GB2312" w:hAnsi="宋体" w:eastAsia="仿宋_GB2312" w:cs="Times New Roman"/>
          <w:color w:val="000000"/>
          <w:sz w:val="28"/>
          <w:szCs w:val="28"/>
          <w:lang w:val="en-US" w:eastAsia="zh-CN"/>
        </w:rPr>
        <w:t>浦发银行余姚支行</w:t>
      </w:r>
      <w:r>
        <w:rPr>
          <w:rFonts w:hint="eastAsia" w:ascii="仿宋_GB2312" w:hAnsi="宋体" w:eastAsia="仿宋_GB2312" w:cs="Times New Roman"/>
          <w:color w:val="000000"/>
          <w:sz w:val="28"/>
          <w:szCs w:val="28"/>
        </w:rPr>
        <w:t xml:space="preserve">                 </w:t>
      </w:r>
    </w:p>
    <w:p w14:paraId="44B5E659">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帐 </w:t>
      </w: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号：</w:t>
      </w:r>
      <w:r>
        <w:rPr>
          <w:rFonts w:hint="eastAsia" w:ascii="仿宋_GB2312" w:hAnsi="宋体" w:eastAsia="仿宋_GB2312" w:cs="Times New Roman"/>
          <w:color w:val="000000"/>
          <w:sz w:val="28"/>
          <w:szCs w:val="28"/>
          <w:lang w:val="en-US" w:eastAsia="zh-CN"/>
        </w:rPr>
        <w:t>94060155260001583</w:t>
      </w:r>
    </w:p>
    <w:p w14:paraId="6E41C35F">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b/>
          <w:color w:val="000000"/>
          <w:sz w:val="28"/>
          <w:szCs w:val="28"/>
        </w:rPr>
        <w:t>租金支付方式：</w:t>
      </w:r>
      <w:r>
        <w:rPr>
          <w:rFonts w:hint="eastAsia" w:ascii="仿宋_GB2312" w:hAnsi="宋体" w:eastAsia="仿宋_GB2312"/>
          <w:color w:val="000000"/>
          <w:sz w:val="28"/>
          <w:szCs w:val="28"/>
        </w:rPr>
        <w:t>转账方式。</w:t>
      </w:r>
    </w:p>
    <w:p w14:paraId="3697FC6D">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（四）甲方收取租金后，开具</w:t>
      </w:r>
      <w:r>
        <w:rPr>
          <w:rFonts w:hint="eastAsia" w:ascii="仿宋_GB2312" w:hAnsi="宋体" w:eastAsia="仿宋_GB2312"/>
          <w:color w:val="000000"/>
          <w:sz w:val="28"/>
          <w:szCs w:val="28"/>
          <w:lang w:eastAsia="zh-CN"/>
        </w:rPr>
        <w:t>租金发票</w:t>
      </w:r>
      <w:r>
        <w:rPr>
          <w:rFonts w:hint="eastAsia" w:ascii="仿宋_GB2312" w:hAnsi="宋体" w:eastAsia="仿宋_GB2312"/>
          <w:color w:val="000000"/>
          <w:sz w:val="28"/>
          <w:szCs w:val="28"/>
        </w:rPr>
        <w:t>给乙方。</w:t>
      </w:r>
    </w:p>
    <w:p w14:paraId="07116453">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第四条　履约保证金及其他费用</w:t>
      </w:r>
    </w:p>
    <w:p w14:paraId="69E6D74B">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（一）签订本合同时由乙方向甲方交纳履约保证金:</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按第1年租金的20%收取</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四舍五入，整取到千位）</w:t>
      </w:r>
      <w:r>
        <w:rPr>
          <w:rFonts w:hint="eastAsia" w:ascii="仿宋_GB2312" w:hAnsi="宋体" w:eastAsia="仿宋_GB2312"/>
          <w:color w:val="000000"/>
          <w:sz w:val="28"/>
          <w:szCs w:val="28"/>
        </w:rPr>
        <w:t>。履约保证金收取后，甲方应向乙方开具收款凭证。待租赁期满或合同解除时</w:t>
      </w:r>
      <w:r>
        <w:rPr>
          <w:rFonts w:hint="eastAsia" w:ascii="仿宋_GB2312" w:hAnsi="宋体" w:eastAsia="仿宋_GB2312" w:cs="宋体"/>
          <w:color w:val="000000"/>
          <w:kern w:val="0"/>
          <w:sz w:val="28"/>
          <w:szCs w:val="28"/>
        </w:rPr>
        <w:t>，且乙方</w:t>
      </w:r>
      <w:r>
        <w:rPr>
          <w:rFonts w:hint="eastAsia" w:ascii="仿宋_GB2312" w:hAnsi="宋体" w:eastAsia="仿宋_GB2312"/>
          <w:color w:val="000000"/>
          <w:sz w:val="28"/>
          <w:szCs w:val="28"/>
        </w:rPr>
        <w:t>结清水、电、气、</w:t>
      </w:r>
      <w:r>
        <w:rPr>
          <w:rFonts w:hint="eastAsia" w:ascii="仿宋_GB2312" w:hAnsi="宋体" w:eastAsia="仿宋_GB2312" w:cs="宋体"/>
          <w:color w:val="000000"/>
          <w:kern w:val="0"/>
          <w:sz w:val="28"/>
          <w:szCs w:val="28"/>
        </w:rPr>
        <w:t>物业管理费</w:t>
      </w:r>
      <w:r>
        <w:rPr>
          <w:rFonts w:hint="eastAsia" w:ascii="仿宋_GB2312" w:hAnsi="宋体" w:eastAsia="仿宋_GB2312"/>
          <w:color w:val="000000"/>
          <w:sz w:val="28"/>
          <w:szCs w:val="28"/>
        </w:rPr>
        <w:t>等租赁期间费用，交还钥匙，并在工商登记注</w:t>
      </w:r>
      <w:r>
        <w:rPr>
          <w:rFonts w:hint="eastAsia" w:ascii="仿宋_GB2312" w:hAnsi="宋体" w:eastAsia="仿宋_GB2312" w:cs="Times New Roman"/>
          <w:color w:val="000000"/>
          <w:sz w:val="28"/>
          <w:szCs w:val="28"/>
        </w:rPr>
        <w:t>销或变更经营地后，由甲方一次性退还履约保证金（按银行同期活期存款利率计息）。</w:t>
      </w:r>
    </w:p>
    <w:p w14:paraId="5D3EFBE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（二）如遇乙方拖欠标的租金、水电费等费用及发生其他违约情形时，甲方有权从履约保证金中扣除相应费用，如遇履约保证金不足时，乙方应在接甲方通知后在10日内补足。</w:t>
      </w:r>
    </w:p>
    <w:p w14:paraId="1C88E300">
      <w:pPr>
        <w:keepNext w:val="0"/>
        <w:keepLines w:val="0"/>
        <w:pageBreakBefore w:val="0"/>
        <w:widowControl w:val="0"/>
        <w:kinsoku/>
        <w:wordWrap/>
        <w:overflowPunct/>
        <w:topLinePunct w:val="0"/>
        <w:autoSpaceDE/>
        <w:autoSpaceDN/>
        <w:bidi w:val="0"/>
        <w:adjustRightInd/>
        <w:snapToGrid/>
        <w:spacing w:line="53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（三）其他费用：甲、乙双方约定，使用租赁标的期间所发生的费用（包括但不限于水 、电 、煤气 、通讯 、设备、物业管理费</w:t>
      </w:r>
      <w:r>
        <w:rPr>
          <w:rFonts w:hint="eastAsia" w:ascii="仿宋_GB2312" w:hAnsi="宋体" w:eastAsia="仿宋_GB2312"/>
          <w:color w:val="000000"/>
          <w:sz w:val="28"/>
          <w:szCs w:val="28"/>
          <w:lang w:val="en-US" w:eastAsia="zh-CN"/>
        </w:rPr>
        <w:t>1元/平方米/月</w:t>
      </w:r>
      <w:r>
        <w:rPr>
          <w:rFonts w:hint="eastAsia" w:ascii="仿宋_GB2312" w:hAnsi="宋体" w:eastAsia="仿宋_GB2312"/>
          <w:color w:val="000000"/>
          <w:sz w:val="28"/>
          <w:szCs w:val="28"/>
        </w:rPr>
        <w:t>、垃圾搬运费等）全部由乙方承担。乙方承担的上述费用，计算或分摊办法、支付方式和时间均按国家规定收费标准支付。</w:t>
      </w:r>
    </w:p>
    <w:p w14:paraId="2364818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第五条  标的交接、使用及维修</w:t>
      </w:r>
    </w:p>
    <w:p w14:paraId="4C1DE335">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（一）甲方按标的的现状交付给乙方使用，涉及经营的相关证照由乙方自行向有关部门申请办理，涉及的各项税费等由乙方自行承担，与甲方无涉。</w:t>
      </w:r>
    </w:p>
    <w:p w14:paraId="5C7A787D">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（二）乙方负责标的的正常维修和维护，并承担一切费用，但主体结构、屋面及外墙面由甲方负责，乙方发现主体结构、屋面及外墙面需维修时，应及时书面告知甲方，如无告知，甲方不承担任何损失。</w:t>
      </w:r>
    </w:p>
    <w:p w14:paraId="6626EA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cs="Times New Roman"/>
          <w:color w:val="000000"/>
          <w:sz w:val="28"/>
          <w:szCs w:val="28"/>
        </w:rPr>
        <w:t>乙方应严</w:t>
      </w:r>
      <w:bookmarkStart w:id="2" w:name="_GoBack"/>
      <w:bookmarkEnd w:id="2"/>
      <w:r>
        <w:rPr>
          <w:rFonts w:hint="eastAsia" w:ascii="仿宋_GB2312" w:hAnsi="宋体" w:eastAsia="仿宋_GB2312" w:cs="Times New Roman"/>
          <w:color w:val="000000"/>
          <w:sz w:val="28"/>
          <w:szCs w:val="28"/>
        </w:rPr>
        <w:t>格按照</w:t>
      </w:r>
      <w:r>
        <w:rPr>
          <w:rFonts w:hint="eastAsia" w:ascii="仿宋_GB2312" w:hAnsi="宋体" w:eastAsia="仿宋_GB2312" w:cs="Times New Roman"/>
          <w:color w:val="000000"/>
          <w:sz w:val="28"/>
          <w:szCs w:val="28"/>
          <w:lang w:val="en-US" w:eastAsia="zh-CN"/>
        </w:rPr>
        <w:t>相关法律法规及相关</w:t>
      </w:r>
      <w:r>
        <w:rPr>
          <w:rFonts w:hint="eastAsia" w:ascii="仿宋_GB2312" w:hAnsi="宋体" w:eastAsia="仿宋_GB2312" w:cs="Times New Roman"/>
          <w:color w:val="000000"/>
          <w:sz w:val="28"/>
          <w:szCs w:val="28"/>
        </w:rPr>
        <w:t>管理部门要求做好</w:t>
      </w:r>
      <w:r>
        <w:rPr>
          <w:rFonts w:hint="eastAsia" w:ascii="仿宋_GB2312" w:hAnsi="宋体" w:eastAsia="仿宋_GB2312" w:cs="Times New Roman"/>
          <w:color w:val="000000"/>
          <w:sz w:val="28"/>
          <w:szCs w:val="28"/>
          <w:lang w:val="en-US" w:eastAsia="zh-CN"/>
        </w:rPr>
        <w:t>消防</w:t>
      </w:r>
      <w:r>
        <w:rPr>
          <w:rFonts w:hint="eastAsia" w:ascii="仿宋_GB2312" w:hAnsi="宋体" w:eastAsia="仿宋_GB2312" w:cs="Times New Roman"/>
          <w:color w:val="000000"/>
          <w:sz w:val="28"/>
          <w:szCs w:val="28"/>
        </w:rPr>
        <w:t>安全、</w:t>
      </w:r>
      <w:r>
        <w:rPr>
          <w:rFonts w:hint="eastAsia" w:ascii="仿宋_GB2312" w:hAnsi="宋体" w:eastAsia="仿宋_GB2312" w:cs="Times New Roman"/>
          <w:color w:val="000000"/>
          <w:sz w:val="28"/>
          <w:szCs w:val="28"/>
          <w:lang w:val="en-US" w:eastAsia="zh-CN"/>
        </w:rPr>
        <w:t>电气安全、</w:t>
      </w:r>
      <w:r>
        <w:rPr>
          <w:rFonts w:hint="eastAsia" w:ascii="仿宋_GB2312" w:hAnsi="宋体" w:eastAsia="仿宋_GB2312" w:cs="Times New Roman"/>
          <w:color w:val="000000"/>
          <w:sz w:val="28"/>
          <w:szCs w:val="28"/>
        </w:rPr>
        <w:t>环保</w:t>
      </w:r>
      <w:r>
        <w:rPr>
          <w:rFonts w:hint="eastAsia" w:ascii="仿宋_GB2312" w:hAnsi="宋体" w:eastAsia="仿宋_GB2312" w:cs="Times New Roman"/>
          <w:color w:val="000000"/>
          <w:sz w:val="28"/>
          <w:szCs w:val="28"/>
          <w:lang w:val="en-US" w:eastAsia="zh-CN"/>
        </w:rPr>
        <w:t>安全</w:t>
      </w:r>
      <w:r>
        <w:rPr>
          <w:rFonts w:hint="eastAsia" w:ascii="仿宋_GB2312" w:hAnsi="宋体" w:eastAsia="仿宋_GB2312" w:cs="Times New Roman"/>
          <w:color w:val="000000"/>
          <w:sz w:val="28"/>
          <w:szCs w:val="28"/>
        </w:rPr>
        <w:t>等相关工作，因</w:t>
      </w:r>
      <w:r>
        <w:rPr>
          <w:rFonts w:hint="eastAsia" w:ascii="仿宋_GB2312" w:hAnsi="宋体" w:eastAsia="仿宋_GB2312" w:cs="Times New Roman"/>
          <w:color w:val="000000"/>
          <w:sz w:val="28"/>
          <w:szCs w:val="28"/>
          <w:lang w:val="en-US" w:eastAsia="zh-CN"/>
        </w:rPr>
        <w:t>设备设施配置不到位、管理</w:t>
      </w:r>
      <w:r>
        <w:rPr>
          <w:rFonts w:hint="eastAsia" w:ascii="仿宋_GB2312" w:hAnsi="宋体" w:eastAsia="仿宋_GB2312" w:cs="Times New Roman"/>
          <w:color w:val="000000"/>
          <w:sz w:val="28"/>
          <w:szCs w:val="28"/>
        </w:rPr>
        <w:t>工作措施不到位而</w:t>
      </w:r>
      <w:r>
        <w:rPr>
          <w:rFonts w:hint="eastAsia" w:ascii="仿宋_GB2312" w:hAnsi="宋体" w:eastAsia="仿宋_GB2312" w:cs="Times New Roman"/>
          <w:color w:val="000000"/>
          <w:sz w:val="28"/>
          <w:szCs w:val="28"/>
          <w:lang w:val="en-US" w:eastAsia="zh-CN"/>
        </w:rPr>
        <w:t>发</w:t>
      </w:r>
      <w:r>
        <w:rPr>
          <w:rFonts w:hint="eastAsia" w:ascii="仿宋_GB2312" w:hAnsi="宋体" w:eastAsia="仿宋_GB2312" w:cs="Times New Roman"/>
          <w:color w:val="000000"/>
          <w:sz w:val="28"/>
          <w:szCs w:val="28"/>
        </w:rPr>
        <w:t>生</w:t>
      </w:r>
      <w:r>
        <w:rPr>
          <w:rFonts w:hint="eastAsia" w:ascii="仿宋_GB2312" w:hAnsi="宋体" w:eastAsia="仿宋_GB2312" w:cs="Times New Roman"/>
          <w:color w:val="000000"/>
          <w:sz w:val="28"/>
          <w:szCs w:val="28"/>
          <w:lang w:val="en-US" w:eastAsia="zh-CN"/>
        </w:rPr>
        <w:t>安全生产</w:t>
      </w:r>
      <w:r>
        <w:rPr>
          <w:rFonts w:hint="eastAsia" w:ascii="仿宋_GB2312" w:hAnsi="宋体" w:eastAsia="仿宋_GB2312" w:cs="Times New Roman"/>
          <w:color w:val="000000"/>
          <w:sz w:val="28"/>
          <w:szCs w:val="28"/>
        </w:rPr>
        <w:t>责任事故</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火灾事故造成经济</w:t>
      </w:r>
      <w:r>
        <w:rPr>
          <w:rFonts w:hint="eastAsia" w:ascii="仿宋_GB2312" w:hAnsi="宋体" w:eastAsia="仿宋_GB2312" w:cs="Times New Roman"/>
          <w:color w:val="000000"/>
          <w:sz w:val="28"/>
          <w:szCs w:val="28"/>
        </w:rPr>
        <w:t>损失（包括第三方的经济责任）</w:t>
      </w:r>
      <w:r>
        <w:rPr>
          <w:rFonts w:hint="eastAsia" w:ascii="仿宋_GB2312" w:hAnsi="宋体" w:eastAsia="仿宋_GB2312" w:cs="Times New Roman"/>
          <w:color w:val="000000"/>
          <w:sz w:val="28"/>
          <w:szCs w:val="28"/>
          <w:lang w:val="en-US" w:eastAsia="zh-CN"/>
        </w:rPr>
        <w:t>均</w:t>
      </w:r>
      <w:r>
        <w:rPr>
          <w:rFonts w:hint="eastAsia" w:ascii="仿宋_GB2312" w:hAnsi="宋体" w:eastAsia="仿宋_GB2312" w:cs="Times New Roman"/>
          <w:color w:val="000000"/>
          <w:sz w:val="28"/>
          <w:szCs w:val="28"/>
        </w:rPr>
        <w:t>由乙方承担，与甲方无涉。</w:t>
      </w:r>
    </w:p>
    <w:p w14:paraId="19F9046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（四）乙方不得利用标的进行违法活动，积极配合相关部门的检查；乙方须独立承担一切经济及安全法律责任，与甲方无涉。</w:t>
      </w:r>
    </w:p>
    <w:p w14:paraId="54C8368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3B0C7E3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（六）如乙方需对标的现有配备的水、电设施进行改造、升级、扩容的，由此产生的费用和责任均由乙方承担。本合同终止（或解除），乙方搬离标的时不得拆除前述的水电设施</w:t>
      </w:r>
      <w:r>
        <w:rPr>
          <w:rFonts w:hint="eastAsia" w:ascii="仿宋_GB2312" w:hAnsi="宋体" w:eastAsia="仿宋_GB2312"/>
          <w:color w:val="000000"/>
          <w:sz w:val="28"/>
          <w:szCs w:val="28"/>
          <w:lang w:eastAsia="zh-CN"/>
        </w:rPr>
        <w:t>产权归甲方所有</w:t>
      </w:r>
      <w:r>
        <w:rPr>
          <w:rFonts w:hint="eastAsia" w:ascii="仿宋_GB2312" w:hAnsi="宋体" w:eastAsia="仿宋_GB2312"/>
          <w:color w:val="000000"/>
          <w:sz w:val="28"/>
          <w:szCs w:val="28"/>
        </w:rPr>
        <w:t>，且甲方不作任何补偿。</w:t>
      </w:r>
    </w:p>
    <w:p w14:paraId="362F242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微软雅黑" w:eastAsia="仿宋_GB2312"/>
          <w:color w:val="000000"/>
          <w:sz w:val="28"/>
          <w:szCs w:val="28"/>
          <w:shd w:val="clear" w:color="auto" w:fill="FFFFFF"/>
          <w:lang w:val="en-US" w:eastAsia="zh-CN"/>
        </w:rPr>
      </w:pPr>
      <w:r>
        <w:rPr>
          <w:rFonts w:hint="eastAsia" w:ascii="仿宋_GB2312" w:hAnsi="宋体" w:eastAsia="仿宋_GB2312"/>
          <w:color w:val="000000"/>
          <w:sz w:val="28"/>
          <w:szCs w:val="28"/>
        </w:rPr>
        <w:t xml:space="preserve">   （七）乙方不得超范围安装广告牌（包括店名牌等）</w:t>
      </w:r>
      <w:r>
        <w:rPr>
          <w:rFonts w:hint="eastAsia" w:ascii="仿宋_GB2312" w:hAnsi="宋体" w:eastAsia="仿宋_GB2312"/>
          <w:color w:val="000000"/>
          <w:sz w:val="28"/>
          <w:szCs w:val="28"/>
          <w:lang w:eastAsia="zh-CN"/>
        </w:rPr>
        <w:t>、搭建临时构建物</w:t>
      </w:r>
      <w:r>
        <w:rPr>
          <w:rFonts w:hint="eastAsia" w:ascii="仿宋_GB2312" w:hAnsi="宋体" w:eastAsia="仿宋_GB2312"/>
          <w:color w:val="000000"/>
          <w:sz w:val="28"/>
          <w:szCs w:val="28"/>
        </w:rPr>
        <w:t>，否则甲方有权要求乙方整改或者拆除，拆除费用由乙方承担。</w:t>
      </w:r>
    </w:p>
    <w:p w14:paraId="7CCB012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第六条  转让、转租、转借及分租</w:t>
      </w:r>
    </w:p>
    <w:p w14:paraId="7069319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 xml:space="preserve">  （一）在租赁期内，甲方有权自行出售标的，但应提前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个月书面通知乙方，乙方在同等条件下有优先购买权；乙方收到通知后</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个月内未书面主张优先购买权的，视为放弃优先购买权。</w:t>
      </w:r>
    </w:p>
    <w:p w14:paraId="50C1485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（二）标的未经甲方同意，乙方不得擅自将标的转租、转借及分租。</w:t>
      </w:r>
    </w:p>
    <w:p w14:paraId="4CC010D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第七条  解除本合同的条件及违约责任</w:t>
      </w:r>
    </w:p>
    <w:p w14:paraId="70710B0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（一）有下列情形之一，甲方有权解除本合同：</w:t>
      </w:r>
    </w:p>
    <w:p w14:paraId="3C49827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1、乙方未按本合同约定期限及时、足额支付租金以及其他相关费用逾期满30日的。</w:t>
      </w:r>
    </w:p>
    <w:p w14:paraId="075E422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2、乙方未按本合同约定补足履约保证金逾期满30日的。</w:t>
      </w:r>
    </w:p>
    <w:p w14:paraId="2771174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3、乙方擅自转租、转借及分租的。</w:t>
      </w:r>
    </w:p>
    <w:p w14:paraId="08F0FD3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4、乙方利用标的进行非法活动。</w:t>
      </w:r>
    </w:p>
    <w:p w14:paraId="0583A09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5、乙方不承担维修和维护责任致使标的严重损坏，或经甲方代为维修后，拒不承担维修费用的。</w:t>
      </w:r>
    </w:p>
    <w:p w14:paraId="4905EEA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4B29AD7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7、乙方在标的内任意改变主体结构、搭建建筑物和构筑物、未经甲方书面同意对标的外立面和内部装修改造的。</w:t>
      </w:r>
    </w:p>
    <w:p w14:paraId="6368E47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8、乙方违反本合同第八条第（二）约定，致使甲方工作人员被追究刑事责任的。</w:t>
      </w:r>
    </w:p>
    <w:p w14:paraId="6E76344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9、乙方违反本合同第一条第（三）约定，不配合甲方办理抵押手续的。</w:t>
      </w:r>
    </w:p>
    <w:p w14:paraId="040D4D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10、乙方出现其他违约事项，经甲方多次催告后仍拒不改正的。</w:t>
      </w:r>
    </w:p>
    <w:p w14:paraId="55892EC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因乙方存在上述情况，甲方采取法律途径进行诉讼的，相应的诉讼费用（包括但不限于律师费、诉讼费、保全费等）均由乙方承担。</w:t>
      </w:r>
    </w:p>
    <w:p w14:paraId="14811D2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（二）有下列情形之一，乙方有权解除本合同：</w:t>
      </w:r>
    </w:p>
    <w:p w14:paraId="68FDE8F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1、甲方迟延交付标的</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个月及以上的。</w:t>
      </w:r>
    </w:p>
    <w:p w14:paraId="3927319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2、甲方违反本租赁合同约定，使乙方无法按约定用途使用标的的。</w:t>
      </w:r>
    </w:p>
    <w:p w14:paraId="35209C8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乙方因上述情形解除合同的，应书面通知甲方。已占用标的的，应及时搬离。</w:t>
      </w:r>
    </w:p>
    <w:p w14:paraId="4D8961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（三）特殊情况下解除本合同：</w:t>
      </w:r>
    </w:p>
    <w:p w14:paraId="660CC191">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1、租赁期间，如遇政府征收（收购）拆迁改造和城市建设施工或城市基础设施改造施工等，则须提前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个月书面通知乙方，乙方应无条件服从并及时归还标的，甲方不承担违约责任和任何形式的补偿。租金按照实际使用时间计算，多退少补，履约保证金予以返还。</w:t>
      </w:r>
    </w:p>
    <w:p w14:paraId="201B80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如遇政府征收（收购）拆迁改造和城市建设施工或城市基础设施改造施工等其他所有拆迁政府补偿费用归甲方所有，但乙方自行装修和添置的设施设备政府补偿归乙方所有,并且甲方不作任何补偿。</w:t>
      </w:r>
    </w:p>
    <w:p w14:paraId="5D5B275D">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2、如乙方要求进行退租的，则须提前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个月书面通知甲方，经甲方同意后，方可办理退租手续；租期不足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个月收取租金，剩余已付租金退还，但履约保证金不予退还。</w:t>
      </w:r>
    </w:p>
    <w:p w14:paraId="03210B9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3、因不可抗力原因致使本合同不能继续履行或造成的损失，任何一方均可提前解除本合同，且双方互不承担责任。租金按照实际使用时间计算，多退少补，履约保证金予以返还。</w:t>
      </w:r>
    </w:p>
    <w:p w14:paraId="3D5756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4、甲方将整体产权转让时或收回自用的，乙方应无条件服从并及时归还标的，甲方不承担违约责任和任何形式的补偿。</w:t>
      </w:r>
    </w:p>
    <w:p w14:paraId="676C6ED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（四）甲方的违约责任：</w:t>
      </w:r>
    </w:p>
    <w:p w14:paraId="216BA1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1、甲方逾期交付标的的，应向乙方支付违约金，违约金每日按年租金额的万分之五计算。</w:t>
      </w:r>
    </w:p>
    <w:p w14:paraId="6DEB28D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2、因甲方原因致使乙方解除本合同的，租金按照实际使用时间计算，多退少补，履约保证金予以返还并向乙方支付违约金，违约金按解除本合同时的年租金额的20%计算。</w:t>
      </w:r>
    </w:p>
    <w:p w14:paraId="18ED46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（五）乙方的违约责任：</w:t>
      </w:r>
    </w:p>
    <w:p w14:paraId="2BDC7D6F">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 xml:space="preserve">  1、乙方逾期支付租金或补足履约保证金的，应向甲方支付违约金，违约金每日按逾期支付租金额或应补足履约保证金额的万分之五计算。</w:t>
      </w:r>
    </w:p>
    <w:p w14:paraId="1741C3BD">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2、因乙方原因致使甲方解除本合同的，租期不足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个月收取租金，剩余已付租金退还，但履约保证金不予返还，并向甲方支付违约金，违约金按解除本合同时的年租金额的20%计算。</w:t>
      </w:r>
    </w:p>
    <w:p w14:paraId="2026A9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倍。</w:t>
      </w:r>
    </w:p>
    <w:p w14:paraId="2E6645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第八条  廉政约定</w:t>
      </w:r>
    </w:p>
    <w:p w14:paraId="33ED582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5BE48A0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（二）承诺内容</w:t>
      </w:r>
    </w:p>
    <w:p w14:paraId="0BD15D2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1、合同双方工作人员不得索要或收受对方一切贿赂或行贿对方工作人员。</w:t>
      </w:r>
    </w:p>
    <w:p w14:paraId="3B13E4D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2、甲方工作人员不得参与或介绍亲朋参与与乙方有关的经营活动，不得介绍亲朋到乙方工作。</w:t>
      </w:r>
    </w:p>
    <w:p w14:paraId="368923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3、双方不得组织或参加有可能妨碍双方公正公务的宴请及娱乐活动。</w:t>
      </w:r>
    </w:p>
    <w:p w14:paraId="482B752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4、甲乙双方不得为谋取不正当利益擅自与对方工作人员就租赁关系的各项相关事项进行私下商谈或者达成默契。</w:t>
      </w:r>
    </w:p>
    <w:p w14:paraId="32976D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（三）违约条款</w:t>
      </w:r>
    </w:p>
    <w:p w14:paraId="0DE3412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1、甲方及其工作人员违反上述规定，依据有关规定给予党纪、政纪或组织处理；涉嫌犯罪的，移交司法机关追究刑事责任。</w:t>
      </w:r>
    </w:p>
    <w:p w14:paraId="38E1BD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2、因乙方违反上述约定导致甲方工作人员违反上述规定的，视情节轻重，甲方扣除乙方10%—50%的履约保证金。</w:t>
      </w:r>
    </w:p>
    <w:p w14:paraId="0E077C4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第九条　标的返还约定</w:t>
      </w:r>
    </w:p>
    <w:p w14:paraId="69D1AF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1、乙方应在本合同的租期届满或提前解除合同后的10日内返还所租赁标的及其附属设施，</w:t>
      </w:r>
      <w:r>
        <w:rPr>
          <w:rFonts w:hint="eastAsia" w:ascii="仿宋_GB2312" w:hAnsi="宋体" w:eastAsia="仿宋_GB2312" w:cs="宋体"/>
          <w:color w:val="000000"/>
          <w:sz w:val="28"/>
          <w:szCs w:val="28"/>
        </w:rPr>
        <w:t>乙方有权将自行添置的可移动部分各类财产收回</w:t>
      </w:r>
      <w:r>
        <w:rPr>
          <w:rFonts w:hint="eastAsia" w:ascii="仿宋_GB2312" w:hAnsi="宋体" w:eastAsia="仿宋_GB2312" w:cs="宋体"/>
          <w:color w:val="000000"/>
          <w:kern w:val="0"/>
          <w:sz w:val="28"/>
          <w:szCs w:val="28"/>
        </w:rPr>
        <w:t>自行处理，但固定装饰物（指装饰在固定建筑物上，与建筑物不可分离的部分，包括中央空调）所有权归甲方所有，</w:t>
      </w:r>
      <w:r>
        <w:rPr>
          <w:rFonts w:hint="eastAsia" w:ascii="仿宋_GB2312" w:hAnsi="宋体" w:eastAsia="仿宋_GB2312"/>
          <w:color w:val="000000"/>
          <w:sz w:val="28"/>
          <w:szCs w:val="28"/>
        </w:rPr>
        <w:t>乙方</w:t>
      </w:r>
      <w:r>
        <w:rPr>
          <w:rFonts w:hint="eastAsia" w:ascii="仿宋_GB2312" w:hAnsi="宋体" w:eastAsia="仿宋_GB2312" w:cs="宋体"/>
          <w:color w:val="000000"/>
          <w:kern w:val="0"/>
          <w:sz w:val="28"/>
          <w:szCs w:val="28"/>
        </w:rPr>
        <w:t>不得拆除，且甲方不作任何经济补偿。</w:t>
      </w:r>
      <w:r>
        <w:rPr>
          <w:rFonts w:hint="eastAsia" w:ascii="仿宋_GB2312" w:hAnsi="宋体" w:eastAsia="仿宋_GB2312"/>
          <w:color w:val="000000"/>
          <w:sz w:val="28"/>
          <w:szCs w:val="28"/>
        </w:rPr>
        <w:t>超过10日的，甲方有权对所租赁标的及其附属设施自行处理，对逾期未搬的物品，甲方有权以废弃物予以处理。</w:t>
      </w:r>
    </w:p>
    <w:p w14:paraId="3DD3790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2、乙方返还所租赁标的及其附属设施应当符合正常使用后的状态。返还时，应经甲方验收签字认可，并相互结清各自应当承担的费用。</w:t>
      </w:r>
    </w:p>
    <w:p w14:paraId="06C660A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第十条  解决争议的方式</w:t>
      </w:r>
    </w:p>
    <w:p w14:paraId="0AB9AC0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合同未尽事宜双方协商解决；协商不成及合同履行过程中发生争议，向甲方所在地人民法院提起诉讼。</w:t>
      </w:r>
    </w:p>
    <w:p w14:paraId="6E536B3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第十一条  其他条款</w:t>
      </w:r>
    </w:p>
    <w:p w14:paraId="6790CD1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甲方联系地址：</w:t>
      </w:r>
    </w:p>
    <w:p w14:paraId="200F255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甲方联系电话：</w:t>
      </w:r>
    </w:p>
    <w:p w14:paraId="509364D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乙方联系地址：</w:t>
      </w:r>
    </w:p>
    <w:p w14:paraId="368250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乙方身份证号：</w:t>
      </w:r>
    </w:p>
    <w:p w14:paraId="5D779FD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乙方联系电话：</w:t>
      </w:r>
    </w:p>
    <w:p w14:paraId="7F6825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甲、乙双方如向前述对方联系地址以挂号信等方式邮寄法律文书或通知等，邮件发出后三日不退回即视为法律文书或通知等已送达对方。</w:t>
      </w:r>
    </w:p>
    <w:p w14:paraId="00D540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本合同一式叁份，经双方签字、盖章后生效。其中：甲方持贰份、乙方持壹份。</w:t>
      </w:r>
    </w:p>
    <w:p w14:paraId="6FFFEC22">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宋体" w:eastAsia="仿宋_GB2312"/>
          <w:color w:val="000000"/>
          <w:sz w:val="28"/>
          <w:szCs w:val="28"/>
        </w:rPr>
      </w:pPr>
    </w:p>
    <w:p w14:paraId="10D7A47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甲方（盖章）：                       乙方（盖章）：</w:t>
      </w:r>
    </w:p>
    <w:p w14:paraId="203EC49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宋体" w:eastAsia="仿宋_GB2312"/>
          <w:color w:val="000000"/>
          <w:sz w:val="28"/>
          <w:szCs w:val="28"/>
        </w:rPr>
      </w:pPr>
    </w:p>
    <w:p w14:paraId="5EBD47B3">
      <w:pPr>
        <w:keepNext w:val="0"/>
        <w:keepLines w:val="0"/>
        <w:pageBreakBefore w:val="0"/>
        <w:widowControl w:val="0"/>
        <w:tabs>
          <w:tab w:val="left" w:pos="6059"/>
        </w:tabs>
        <w:kinsoku/>
        <w:wordWrap/>
        <w:overflowPunct/>
        <w:topLinePunct w:val="0"/>
        <w:autoSpaceDE/>
        <w:autoSpaceDN/>
        <w:bidi w:val="0"/>
        <w:adjustRightInd/>
        <w:snapToGrid w:val="0"/>
        <w:spacing w:line="540" w:lineRule="exact"/>
        <w:ind w:left="-180"/>
        <w:textAlignment w:val="auto"/>
        <w:rPr>
          <w:rFonts w:hint="eastAsia" w:ascii="仿宋_GB2312" w:hAnsi="宋体" w:eastAsia="仿宋_GB2312"/>
          <w:color w:val="000000"/>
          <w:sz w:val="28"/>
          <w:szCs w:val="28"/>
        </w:rPr>
      </w:pPr>
      <w:r>
        <w:rPr>
          <w:rFonts w:hint="eastAsia" w:ascii="仿宋_GB2312" w:hAnsi="宋体" w:eastAsia="仿宋_GB2312" w:cs="宋体"/>
          <w:snapToGrid w:val="0"/>
          <w:color w:val="000000"/>
          <w:sz w:val="28"/>
          <w:szCs w:val="28"/>
        </w:rPr>
        <w:t xml:space="preserve">    法定代表人</w:t>
      </w:r>
      <w:r>
        <w:rPr>
          <w:rFonts w:hint="eastAsia" w:ascii="仿宋_GB2312" w:hAnsi="宋体" w:eastAsia="仿宋_GB2312"/>
          <w:color w:val="000000"/>
          <w:sz w:val="28"/>
          <w:szCs w:val="28"/>
        </w:rPr>
        <w:t xml:space="preserve">或                        </w:t>
      </w:r>
      <w:r>
        <w:rPr>
          <w:rFonts w:hint="eastAsia" w:ascii="仿宋_GB2312" w:hAnsi="宋体" w:eastAsia="仿宋_GB2312" w:cs="宋体"/>
          <w:snapToGrid w:val="0"/>
          <w:color w:val="000000"/>
          <w:sz w:val="28"/>
          <w:szCs w:val="28"/>
        </w:rPr>
        <w:t>法定代表人</w:t>
      </w:r>
      <w:r>
        <w:rPr>
          <w:rFonts w:hint="eastAsia" w:ascii="仿宋_GB2312" w:hAnsi="宋体" w:eastAsia="仿宋_GB2312"/>
          <w:color w:val="000000"/>
          <w:sz w:val="28"/>
          <w:szCs w:val="28"/>
        </w:rPr>
        <w:t>或</w:t>
      </w:r>
    </w:p>
    <w:p w14:paraId="5768794B">
      <w:pPr>
        <w:keepNext w:val="0"/>
        <w:keepLines w:val="0"/>
        <w:pageBreakBefore w:val="0"/>
        <w:widowControl w:val="0"/>
        <w:tabs>
          <w:tab w:val="left" w:pos="6059"/>
        </w:tabs>
        <w:kinsoku/>
        <w:wordWrap/>
        <w:overflowPunct/>
        <w:topLinePunct w:val="0"/>
        <w:autoSpaceDE/>
        <w:autoSpaceDN/>
        <w:bidi w:val="0"/>
        <w:adjustRightInd/>
        <w:snapToGrid w:val="0"/>
        <w:spacing w:line="540" w:lineRule="exact"/>
        <w:ind w:left="-180"/>
        <w:textAlignment w:val="auto"/>
        <w:rPr>
          <w:rFonts w:hint="eastAsia" w:ascii="仿宋_GB2312" w:hAnsi="宋体" w:eastAsia="仿宋_GB2312"/>
          <w:b/>
          <w:bCs/>
          <w:color w:val="000000"/>
          <w:sz w:val="28"/>
          <w:szCs w:val="28"/>
        </w:rPr>
      </w:pPr>
      <w:r>
        <w:rPr>
          <w:rFonts w:hint="eastAsia" w:ascii="仿宋_GB2312" w:hAnsi="宋体" w:eastAsia="仿宋_GB2312"/>
          <w:color w:val="000000"/>
          <w:sz w:val="28"/>
          <w:szCs w:val="28"/>
        </w:rPr>
        <w:t xml:space="preserve">   其授权代表（签字）</w:t>
      </w:r>
      <w:r>
        <w:rPr>
          <w:rFonts w:hint="eastAsia" w:ascii="仿宋_GB2312" w:hAnsi="宋体" w:eastAsia="仿宋_GB2312" w:cs="宋体"/>
          <w:snapToGrid w:val="0"/>
          <w:color w:val="000000"/>
          <w:sz w:val="28"/>
          <w:szCs w:val="28"/>
        </w:rPr>
        <w:t xml:space="preserve">：                 </w:t>
      </w:r>
      <w:r>
        <w:rPr>
          <w:rFonts w:hint="eastAsia" w:ascii="仿宋_GB2312" w:hAnsi="宋体" w:eastAsia="仿宋_GB2312"/>
          <w:color w:val="000000"/>
          <w:sz w:val="28"/>
          <w:szCs w:val="28"/>
        </w:rPr>
        <w:t>其授权代表（签字）</w:t>
      </w:r>
      <w:r>
        <w:rPr>
          <w:rFonts w:hint="eastAsia" w:ascii="仿宋_GB2312" w:hAnsi="宋体" w:eastAsia="仿宋_GB2312"/>
          <w:b/>
          <w:bCs/>
          <w:color w:val="000000"/>
          <w:sz w:val="28"/>
          <w:szCs w:val="28"/>
        </w:rPr>
        <w:t>：</w:t>
      </w:r>
    </w:p>
    <w:p w14:paraId="0EB01521">
      <w:pPr>
        <w:keepNext w:val="0"/>
        <w:keepLines w:val="0"/>
        <w:pageBreakBefore w:val="0"/>
        <w:widowControl w:val="0"/>
        <w:tabs>
          <w:tab w:val="left" w:pos="6059"/>
        </w:tabs>
        <w:kinsoku/>
        <w:wordWrap/>
        <w:overflowPunct/>
        <w:topLinePunct w:val="0"/>
        <w:autoSpaceDE/>
        <w:autoSpaceDN/>
        <w:bidi w:val="0"/>
        <w:adjustRightInd/>
        <w:snapToGrid w:val="0"/>
        <w:spacing w:line="540" w:lineRule="exact"/>
        <w:ind w:left="-180"/>
        <w:textAlignment w:val="auto"/>
        <w:rPr>
          <w:rFonts w:hint="eastAsia" w:ascii="仿宋_GB2312" w:hAnsi="宋体" w:eastAsia="仿宋_GB2312"/>
          <w:b/>
          <w:bCs/>
          <w:color w:val="000000"/>
          <w:sz w:val="28"/>
          <w:szCs w:val="28"/>
        </w:rPr>
      </w:pPr>
    </w:p>
    <w:p w14:paraId="38F1044E">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color w:val="000000"/>
          <w:sz w:val="24"/>
        </w:rPr>
      </w:pPr>
      <w:r>
        <w:rPr>
          <w:rFonts w:hint="eastAsia" w:ascii="仿宋_GB2312" w:hAnsi="宋体" w:eastAsia="仿宋_GB2312"/>
          <w:color w:val="000000"/>
          <w:sz w:val="28"/>
          <w:szCs w:val="28"/>
        </w:rPr>
        <w:t>合同签订日期：         年　    月     日</w:t>
      </w:r>
    </w:p>
    <w:p w14:paraId="269DB5D0">
      <w:pPr>
        <w:rPr>
          <w:rFonts w:hint="eastAsia"/>
          <w:lang w:val="en-US" w:eastAsia="zh-CN"/>
        </w:rPr>
      </w:pPr>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1C2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22EB7F0">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722EB7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DC3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CA3BD"/>
    <w:multiLevelType w:val="singleLevel"/>
    <w:tmpl w:val="396CA3BD"/>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43149"/>
    <w:rsid w:val="58A000B1"/>
    <w:rsid w:val="621D6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9112</Words>
  <Characters>9460</Characters>
  <Lines>0</Lines>
  <Paragraphs>0</Paragraphs>
  <TotalTime>2</TotalTime>
  <ScaleCrop>false</ScaleCrop>
  <LinksUpToDate>false</LinksUpToDate>
  <CharactersWithSpaces>10042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2025-08-25T08:46:00Z</dcterms:created>
  <dc:creator>USER</dc:creator>
  <cp:lastModifiedBy>阳明拍卖</cp:lastModifiedBy>
  <dcterms:modified xsi:type="dcterms:W3CDTF">2025-08-25T08:55:31Z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eyJoZGlkIjoiNTIxN2I2N2ZmMTBlNDQ1NmZkZWFkZjYwZjYyMjEwZmQiLCJ1c2VySWQiOiI2NDI4NjU5NTMifQ==</vt:lpwstr>
  </property>
  <property fmtid="{D5CDD505-2E9C-101B-9397-08002B2CF9AE}" pid="4" name="ICV">
    <vt:lpwstr>9FC8F65348884CD598F2FB8B2DDC89B3_12</vt:lpwstr>
  </property>
</Properties>
</file>