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75BE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土石料</w:t>
      </w:r>
      <w:r>
        <w:rPr>
          <w:rFonts w:hint="eastAsia" w:ascii="仿宋" w:hAnsi="仿宋" w:eastAsia="仿宋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买卖合同（样本）</w:t>
      </w:r>
    </w:p>
    <w:p w14:paraId="7CF976A9">
      <w:pPr>
        <w:pStyle w:val="1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50" w:afterAutospacing="0" w:line="4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合同编号：</w:t>
      </w:r>
    </w:p>
    <w:p w14:paraId="750096B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转让人：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余姚市城市建设投资发展有限公司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（以下简称“甲方”）</w:t>
      </w:r>
    </w:p>
    <w:p w14:paraId="4186A14C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受让人：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（以下简称“乙方”）</w:t>
      </w:r>
    </w:p>
    <w:p w14:paraId="2512AC4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为了规范交易行为，保护双方合法权益，根据《中华人民共和国民法典》及有关法律法规，明确双方权利义务关系，保证正常交易程序，一致同意签订本合同，以资共同遵守。</w:t>
      </w:r>
    </w:p>
    <w:p w14:paraId="05C0E4B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第一条 转让标的</w:t>
      </w:r>
    </w:p>
    <w:p w14:paraId="16AC062A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50" w:firstLineChars="15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乙方通过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拍卖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取得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余姚市黄山西路南侧、溪凤桥河东侧地块工程多余土石料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（以下简称“标的物”）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土石料估算总量：73221立方米（约148037吨），其中残坡积土28082立方米（约53074吨），全风化角砾岩17592立方米（约35008吨），强风化角砾岩18374立方米（约36748吨）,中风化角砾岩9173立方米（约23207吨）。项目具体情况详见附件。</w:t>
      </w:r>
    </w:p>
    <w:p w14:paraId="1CFC1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拍卖成交价（即转让价格）均为裸价，不包含任何税、费及买受佣金。在提取过程中所产生的装卸费、场地堆放费、搬运费、运输费、生产管理成本、机械设备费、保险费等一切费用全部由乙方承担。此外，起拍成交价（即转让价格）也不包含乙方后续运输、加工、经营、销售土石料等过程所产生的各项税费（按现行相关规定缴纳）。</w:t>
      </w:r>
    </w:p>
    <w:p w14:paraId="6779B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标的物的数量、重量、品质均为设计估算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，根据《余姚市黄山西路南侧、溪凤桥河东侧地块开挖土石方量估算报告》编制，具有不确定性，乙方在拍卖前已认真仔细了解标的物的实际情况，清楚可能存在的各项风险。标的物的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数量、重量、品质按实际交付为准（交付时不再过磅），如实际交付有差距，则不进行拍卖成交款及买受佣金的退补，相应风险由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自行承担。</w:t>
      </w:r>
    </w:p>
    <w:p w14:paraId="32482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四）土石料竞买和销售投资属于风险投资，标的物根据工程实际进度进行提取，提取周期较长，土石料市场价格可能会受市场环境和政策等因素的影响而上下波动，存在不可预见的自然因素变化和政策法规调整的风险，乙方已提前考察与现场踏勘，并详细了解当地市场行情，充分考虑上述因素可能造成的投资风险，并自愿承担由此造成的投资风险。</w:t>
      </w:r>
    </w:p>
    <w:p w14:paraId="6EB152CC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50" w:firstLineChars="15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交付期限：拍卖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成交后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日历天，具体以工程实际开挖进度为准。</w:t>
      </w:r>
    </w:p>
    <w:p w14:paraId="0CA7657A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第二条 转让价格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、履约保证金等费用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支付方式</w:t>
      </w:r>
    </w:p>
    <w:p w14:paraId="034605A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50" w:firstLineChars="15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转让价格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为人民币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大写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2DEE6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。乙方已于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日前按约定按时足额付清款项；</w:t>
      </w:r>
    </w:p>
    <w:p w14:paraId="5057B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（二）签订本合同前，乙方已向甲方指定账户交纳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履约保证金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【按转让价格的30%收取（四舍五入，整取到千位）】。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履约保证金收取后，甲方应向乙方开具收款凭证。履约保证金不足时，乙方须在接甲方通知后3个工作日内补足。待标的物交付完毕且确认双方无纠纷，由甲方一次性退还给乙方（按银行同期活期存款利率计息）。</w:t>
      </w:r>
    </w:p>
    <w:p w14:paraId="5955088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标的物交付</w:t>
      </w:r>
    </w:p>
    <w:p w14:paraId="66355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（一）本合同签订后，根据工程实际开挖进度，由甲方委托施工单位将标的物分批次交付给乙方。</w:t>
      </w:r>
    </w:p>
    <w:p w14:paraId="4C554F86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乙方须根据施工进度取料，每次须在接到施工单位开挖通知后48小时内完成土石料的清运，逾期视为自动放弃，甲方有权按废弃物予以处理，相关处置费用由乙方承担（从履约保证金中扣除）。上述情况超过3次，甲方有权提前终止合同，且履约保证金不予退还。施工单位在临时堆场将标的物分批交付于乙方，进入临时堆场后的土石料由乙方自行看管，甲方不承担看管义务，如发生盗窃、丢失等问题，相应风险由乙方自行承担，与甲方无关。标的物接收周期同施工周期，乙方须确保及时提取标的物，以免影响项目施工进度。然而，甲方不对提取标的物的具体时间、单次数量及总次数作出保证，乙方应对此有充分认知，并承诺不因此向甲方提出异议或要求赔偿。</w:t>
      </w:r>
    </w:p>
    <w:p w14:paraId="492242E9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如遇特殊情况无法及时清运，乙方必须提前征得甲方的书面同意。</w:t>
      </w:r>
    </w:p>
    <w:p w14:paraId="5BAD68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2" w:firstLineChars="15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特别约定</w:t>
      </w:r>
    </w:p>
    <w:p w14:paraId="479A7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一）乙方竞得标的物后，不得另行转包或违法分包，如发现此类情况，甲方有权收回标的物，对乙方作违约处理，所缴纳的履约保证金不予退还，扣除履约保证金仍不足以弥补对甲方造成的损失，乙方还需赔偿甲方的相应损失。由此产生的经济损失及法律风险均由乙方自行承担。</w:t>
      </w:r>
    </w:p>
    <w:p w14:paraId="7E43B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（二）乙方须遵守相关法律法规，并依据环卫、环保、路政、 交警等部门规定，自行办理清运相关手续并承担费用，使用报备车辆，按指定线路进行运输。乙方在清运期间不得影响周边居民、企业的正常生活及生产，确保道路通畅，并应针对扬尘、交通事故、道路破损、噪声、震动导致房屋开裂等问题采取相应措施。若因乙方行为导致影响、危害人身安全或财产损失等后果，相应的责任和费用由乙方自行承担，与甲方无涉。</w:t>
      </w:r>
    </w:p>
    <w:p w14:paraId="26188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三）工程多余土石料按照已有的施工规范及批准施工方案进行开挖。土石料在开挖、爆破、装卸、运输、堆砌、筛选等环节中可能混杂并降低品质，相关风险由乙方自负，且乙方无权拒收标的物、向甲方索赔或提出新的开采建议。</w:t>
      </w:r>
    </w:p>
    <w:p w14:paraId="46E22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四）乙方在履约期间，须无条件自行承担各类费用及安全环保责任（包括但不限于装卸、运输、安全事故、各类纠纷、税费等）。乙方须设置冲洗设备和设置，保持环境清洁，不污染路面，如有环境污染问题，移交环保部门和交通综合执法部门处理，相应的责任和费用全部由乙方承担,甲方有权从履约保证金中予以扣除。</w:t>
      </w:r>
    </w:p>
    <w:p w14:paraId="5B093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五）乙方使用的作业机械及运输车辆须事先向甲方进行备案，并获得甲方的审批同意，否则不得进行标的物提取。临时堆场内，乙方的作业机械、提货车辆及操作人员均须服从施工单位与监理单位的统一管理。乙方的车辆和作业机械应在甲方指定的位置装卸土石料，并遵守施工单位管理人员的现场指挥。乙方严禁进入项目施工区域，不得干扰余姚市黄山西路南侧、溪凤桥河东侧地块工程的施工活动，且不得占用施工通道。</w:t>
      </w:r>
    </w:p>
    <w:p w14:paraId="4808A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六）乙方必须按规定线路运输，运输方案须经交警、路政等部门同意后方可实施。提货期间，乙方需配备工作人员做好交通指挥和车辆调度等工作，相关工作人员费用由乙方自理。因乙方原因导致交通拥堵的，相应的责任和费用均由乙方承担，与甲方无涉。</w:t>
      </w:r>
    </w:p>
    <w:p w14:paraId="621FD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七）为确保土石方提取运输过程安全有序，乙方应当向属地保险机构购买该过程的安全生产责任险，从业人员的施工人员意外险和工伤保险，运输车辆的交强险、第三者责任保险（不低于200万），作业设备的机械设备险。如发生安全事故，所造成的一切损失由乙方自行承担，与甲方无涉。若发生重大安全事故或人员伤亡，乙方应立即采取必要措施抢救伤员，防止事态扩大，减少损失，并即刻通知甲方及相关部门，相关费用由乙方承担。</w:t>
      </w:r>
    </w:p>
    <w:p w14:paraId="50BC4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八）因提取运输导致道路、周边房屋、管线等损坏的，乙方应立即做好临时安全措施，且及时做好修复工作，因修复、赔偿产生的一切费用由乙方承担。若乙方未及时修复或赔付，甲方有权代为进行，相关费用将从乙方的履约保证金中直接扣除。待提取完毕后30日内，乙方需对运输线路上的道路进行全面维修，确保其恢复至原状，所有修复费用均由乙方承担。经甲方验收合格后，方可退还保证金。</w:t>
      </w:r>
    </w:p>
    <w:p w14:paraId="520DF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九）在履约期间，若乙方被第三方投诉或诉讼，乙方须自行妥善处理；若因此产生不良影响及负面社会舆论，将视乙方为违约，甲方有权解除合同，所缴纳的履约保证金概不退还。扣除履约保证金仍不足以弥补对甲方造成的损失，乙方还需赔偿甲方的相应损失。由此产生的经济损失及法律风险均由乙方自行承担。</w:t>
      </w:r>
    </w:p>
    <w:p w14:paraId="1C04B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十）如在工程实际需求或不可抗力因素启动设计变更时，对原调查与设计方案进行规范调整，导致标的物数量发生变化的，甲方将对拍卖成交款进行多退少补处理[即具体金额按公式“拍卖成交款÷土石料估算量×（土石料估算量－项目变更后土石料估算量）”结算]。乙方需无条件接受此调整，并在收到甲方书面通知后30日内完成补足或退还。</w:t>
      </w:r>
    </w:p>
    <w:p w14:paraId="39BD2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双方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权利和义务</w:t>
      </w:r>
    </w:p>
    <w:p w14:paraId="0DD32E5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452" w:firstLineChars="15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（一）甲方的权利和义务</w:t>
      </w:r>
    </w:p>
    <w:p w14:paraId="168BD5D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甲方应保证对转让标的物享有所有权或处置权。</w:t>
      </w:r>
    </w:p>
    <w:p w14:paraId="6F036404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、甲方对乙方清运行为有监督管理的权利。</w:t>
      </w:r>
    </w:p>
    <w:p w14:paraId="2044C86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452" w:firstLineChars="15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（二）乙方的权利和义务</w:t>
      </w:r>
    </w:p>
    <w:p w14:paraId="312351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1、乙方应按照约定时间足额支付转让款、履约保证金等款项。</w:t>
      </w:r>
    </w:p>
    <w:p w14:paraId="110FD78A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2、乙方根据本合同第三条、第四条的约定享有相应权利并履行相关义务。</w:t>
      </w:r>
    </w:p>
    <w:p w14:paraId="55AD798F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第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条 违约责任</w:t>
      </w:r>
    </w:p>
    <w:p w14:paraId="40BA2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（一）乙方出现下列情形之一的，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属违约，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甲方有权解除本合同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，同时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不予退还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转让价款和履约保证金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，且乙方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丧失继续取得土石料的权利，并承担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甲方的一切损失：</w:t>
      </w:r>
    </w:p>
    <w:p w14:paraId="25EF1D13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1、与施工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勾结，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或擅自开挖，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侵吞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土石料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且数量较大的；</w:t>
      </w:r>
    </w:p>
    <w:p w14:paraId="314A04F5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2、发生重大安全事故等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造成恶劣影响和社会负面舆论的；</w:t>
      </w:r>
    </w:p>
    <w:p w14:paraId="6B55E4E2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、其他违反合同约定的事项。</w:t>
      </w:r>
    </w:p>
    <w:p w14:paraId="205814C5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（二）甲方出现下列情形之一，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属违约，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乙方有权解除本合同，且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有权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向甲方要求赔偿由此所造成的损失：</w:t>
      </w:r>
    </w:p>
    <w:p w14:paraId="737A82D3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因施工工程调整导致设计量出现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大幅度调整且未书面通知乙方的；</w:t>
      </w:r>
    </w:p>
    <w:p w14:paraId="4F315018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在未函告乙方的情况下，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擅自将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土石料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处置的。</w:t>
      </w:r>
    </w:p>
    <w:p w14:paraId="1FDF5302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、其他违反合同约定的事项。</w:t>
      </w:r>
    </w:p>
    <w:p w14:paraId="665C44BF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条 不可抗力</w:t>
      </w:r>
    </w:p>
    <w:p w14:paraId="38A892A9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（一）因大雨等恶劣天气、相关职能部门因管理需要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要求停运或其他不可抗力等原因需延长标的物提取时间的，乙方须向甲方提出书面申请，经甲方同意后方可顺延。</w:t>
      </w:r>
    </w:p>
    <w:p w14:paraId="30E63821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（二）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因不可抗力情形导致标的物灭失且无法在履行合同时，甲乙双方均不作任何补偿，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按本合同第四条第（十）款执行。</w:t>
      </w:r>
    </w:p>
    <w:p w14:paraId="157BC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 补充与变更</w:t>
      </w:r>
    </w:p>
    <w:p w14:paraId="28D3A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本合同可根据各方意见进行书面修改或补充，由此形成的补充协议，与本合同具有相同法律效力。</w:t>
      </w:r>
    </w:p>
    <w:p w14:paraId="11D5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 争议的解决</w:t>
      </w:r>
    </w:p>
    <w:p w14:paraId="74342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各方当事人对本合同有关条款的解释或履行发生争议时，应通过友好协商的方式予以解决，经协商未达成书面协议，则任何一方当事人均有权向余姚市人民法院提起诉讼。</w:t>
      </w:r>
    </w:p>
    <w:p w14:paraId="5F608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 协议和条款效力</w:t>
      </w:r>
    </w:p>
    <w:p w14:paraId="332C4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（一）甲乙双方因本次拍卖行为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签署的各种文书及协议，为本合同的有效组织部分，均具有同等法律效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196CE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（二）合同各款间效力独立，如遇国家法律法规、政府指令或司法实践的任何变化，导致本合同的任何条款成为非法、无效或者失去强制执行性的，本合同其他任何条款的合法性、有效性和强制性不受影响。</w:t>
      </w:r>
    </w:p>
    <w:p w14:paraId="02A5D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 生效条件</w:t>
      </w:r>
    </w:p>
    <w:p w14:paraId="10108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本合同自双方的法定代表人或其授权代理人在本协议上签字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加盖公章之日起生效。</w:t>
      </w:r>
    </w:p>
    <w:p w14:paraId="59DFE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第十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条 其他 </w:t>
      </w:r>
    </w:p>
    <w:p w14:paraId="7D747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本协议一式叁份，具有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同等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法律效力。甲方执贰份，乙方执壹份。</w:t>
      </w:r>
    </w:p>
    <w:p w14:paraId="0C5F6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DD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甲方（盖章）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乙方（盖章）</w:t>
      </w:r>
    </w:p>
    <w:p w14:paraId="62E0A38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1B70A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法定代表人（或代理人）：       法定代表人（或代理人）：</w:t>
      </w:r>
    </w:p>
    <w:p w14:paraId="6E1C2BC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3128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联系电话：                    联系电话：</w:t>
      </w:r>
    </w:p>
    <w:p w14:paraId="6CA6E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 w14:paraId="3F13B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签订时间：202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日    签订时间：202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p w14:paraId="4C0BFB46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6D6E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7B39E4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7B5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附件：《项目情况简介》</w:t>
      </w:r>
    </w:p>
    <w:p w14:paraId="47A2FA3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FF618">
    <w:pPr>
      <w:pStyle w:val="6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19DD3D1">
                <w:pPr>
                  <w:pStyle w:val="6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3469D"/>
    <w:multiLevelType w:val="singleLevel"/>
    <w:tmpl w:val="3113469D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IxN2I2N2ZmMTBlNDQ1NmZkZWFkZjYwZjYyMjEwZmQifQ=="/>
  </w:docVars>
  <w:rsids>
    <w:rsidRoot w:val="78CA0435"/>
    <w:rsid w:val="000071E0"/>
    <w:rsid w:val="00010E01"/>
    <w:rsid w:val="000319C2"/>
    <w:rsid w:val="000406E0"/>
    <w:rsid w:val="00080C18"/>
    <w:rsid w:val="00092B06"/>
    <w:rsid w:val="000C521E"/>
    <w:rsid w:val="001065BB"/>
    <w:rsid w:val="00116E84"/>
    <w:rsid w:val="00127EAC"/>
    <w:rsid w:val="00160607"/>
    <w:rsid w:val="001620C3"/>
    <w:rsid w:val="001651AD"/>
    <w:rsid w:val="001657DC"/>
    <w:rsid w:val="00165BCA"/>
    <w:rsid w:val="001830D4"/>
    <w:rsid w:val="00190B53"/>
    <w:rsid w:val="00192D6F"/>
    <w:rsid w:val="001C09C4"/>
    <w:rsid w:val="001C6CA7"/>
    <w:rsid w:val="001D2837"/>
    <w:rsid w:val="001E3A14"/>
    <w:rsid w:val="001E4042"/>
    <w:rsid w:val="001F2F9F"/>
    <w:rsid w:val="0025247F"/>
    <w:rsid w:val="0025775E"/>
    <w:rsid w:val="00265A93"/>
    <w:rsid w:val="00271370"/>
    <w:rsid w:val="002A4A86"/>
    <w:rsid w:val="002B4E7E"/>
    <w:rsid w:val="002D2B48"/>
    <w:rsid w:val="002D7AA6"/>
    <w:rsid w:val="002F09E0"/>
    <w:rsid w:val="0030671D"/>
    <w:rsid w:val="00307CEB"/>
    <w:rsid w:val="00352B80"/>
    <w:rsid w:val="003551DB"/>
    <w:rsid w:val="00357150"/>
    <w:rsid w:val="003836CD"/>
    <w:rsid w:val="00394B86"/>
    <w:rsid w:val="003A5811"/>
    <w:rsid w:val="003A6A13"/>
    <w:rsid w:val="003A77D5"/>
    <w:rsid w:val="003C22D9"/>
    <w:rsid w:val="00406363"/>
    <w:rsid w:val="00442E87"/>
    <w:rsid w:val="004551AD"/>
    <w:rsid w:val="00455A3A"/>
    <w:rsid w:val="004621C9"/>
    <w:rsid w:val="0049145C"/>
    <w:rsid w:val="00497AD9"/>
    <w:rsid w:val="004A487F"/>
    <w:rsid w:val="004C4B2A"/>
    <w:rsid w:val="004C60C3"/>
    <w:rsid w:val="004D043B"/>
    <w:rsid w:val="004F2393"/>
    <w:rsid w:val="0050748C"/>
    <w:rsid w:val="0051594A"/>
    <w:rsid w:val="00527847"/>
    <w:rsid w:val="00537402"/>
    <w:rsid w:val="0057442D"/>
    <w:rsid w:val="00582F50"/>
    <w:rsid w:val="00584448"/>
    <w:rsid w:val="005865D0"/>
    <w:rsid w:val="005A1932"/>
    <w:rsid w:val="005A448D"/>
    <w:rsid w:val="005C57B0"/>
    <w:rsid w:val="005D1E3F"/>
    <w:rsid w:val="005D7BFF"/>
    <w:rsid w:val="005E0B8C"/>
    <w:rsid w:val="00601FDE"/>
    <w:rsid w:val="00604A83"/>
    <w:rsid w:val="006175CC"/>
    <w:rsid w:val="00632A27"/>
    <w:rsid w:val="006453C0"/>
    <w:rsid w:val="006608BA"/>
    <w:rsid w:val="006639DE"/>
    <w:rsid w:val="00677D27"/>
    <w:rsid w:val="006D5FDD"/>
    <w:rsid w:val="00714D49"/>
    <w:rsid w:val="00714ED5"/>
    <w:rsid w:val="0073065F"/>
    <w:rsid w:val="007335C8"/>
    <w:rsid w:val="00735050"/>
    <w:rsid w:val="00735C00"/>
    <w:rsid w:val="00745003"/>
    <w:rsid w:val="00750269"/>
    <w:rsid w:val="0075032F"/>
    <w:rsid w:val="007621F4"/>
    <w:rsid w:val="00766044"/>
    <w:rsid w:val="00776865"/>
    <w:rsid w:val="007854A1"/>
    <w:rsid w:val="00797CDE"/>
    <w:rsid w:val="007B4314"/>
    <w:rsid w:val="007F2BA1"/>
    <w:rsid w:val="007F467D"/>
    <w:rsid w:val="00827286"/>
    <w:rsid w:val="008436A5"/>
    <w:rsid w:val="00846AF2"/>
    <w:rsid w:val="00853378"/>
    <w:rsid w:val="0085677F"/>
    <w:rsid w:val="00857BE3"/>
    <w:rsid w:val="00884E35"/>
    <w:rsid w:val="00896D76"/>
    <w:rsid w:val="008B61F0"/>
    <w:rsid w:val="008B661E"/>
    <w:rsid w:val="008C1CD8"/>
    <w:rsid w:val="008C2692"/>
    <w:rsid w:val="008D163D"/>
    <w:rsid w:val="008D448C"/>
    <w:rsid w:val="008E1638"/>
    <w:rsid w:val="008E1DD0"/>
    <w:rsid w:val="008F6FED"/>
    <w:rsid w:val="0090660C"/>
    <w:rsid w:val="00930EAA"/>
    <w:rsid w:val="009369D3"/>
    <w:rsid w:val="00967448"/>
    <w:rsid w:val="0097266B"/>
    <w:rsid w:val="009779B7"/>
    <w:rsid w:val="00991606"/>
    <w:rsid w:val="009B700C"/>
    <w:rsid w:val="009D2D81"/>
    <w:rsid w:val="009D56FE"/>
    <w:rsid w:val="009E58AB"/>
    <w:rsid w:val="009F3496"/>
    <w:rsid w:val="009F403A"/>
    <w:rsid w:val="00A13007"/>
    <w:rsid w:val="00A1733A"/>
    <w:rsid w:val="00A2301F"/>
    <w:rsid w:val="00A636C8"/>
    <w:rsid w:val="00A724F1"/>
    <w:rsid w:val="00A8024D"/>
    <w:rsid w:val="00AA4547"/>
    <w:rsid w:val="00AB0B6A"/>
    <w:rsid w:val="00AF6539"/>
    <w:rsid w:val="00B05716"/>
    <w:rsid w:val="00B14847"/>
    <w:rsid w:val="00B22243"/>
    <w:rsid w:val="00B24A74"/>
    <w:rsid w:val="00B27B82"/>
    <w:rsid w:val="00B30B6E"/>
    <w:rsid w:val="00B34297"/>
    <w:rsid w:val="00B42BDC"/>
    <w:rsid w:val="00B42D33"/>
    <w:rsid w:val="00B455BA"/>
    <w:rsid w:val="00B4610C"/>
    <w:rsid w:val="00B74C4B"/>
    <w:rsid w:val="00BA3CEB"/>
    <w:rsid w:val="00BA668D"/>
    <w:rsid w:val="00BC4BB4"/>
    <w:rsid w:val="00BC7C07"/>
    <w:rsid w:val="00BD2AB7"/>
    <w:rsid w:val="00BE031A"/>
    <w:rsid w:val="00C10192"/>
    <w:rsid w:val="00C14FB2"/>
    <w:rsid w:val="00C152CF"/>
    <w:rsid w:val="00C15B78"/>
    <w:rsid w:val="00C2090C"/>
    <w:rsid w:val="00C230A0"/>
    <w:rsid w:val="00C35E24"/>
    <w:rsid w:val="00C37CF8"/>
    <w:rsid w:val="00C425DF"/>
    <w:rsid w:val="00C51E12"/>
    <w:rsid w:val="00C87F55"/>
    <w:rsid w:val="00C94E7C"/>
    <w:rsid w:val="00CA0448"/>
    <w:rsid w:val="00CA34D9"/>
    <w:rsid w:val="00CB0CA0"/>
    <w:rsid w:val="00CD739E"/>
    <w:rsid w:val="00CE70F9"/>
    <w:rsid w:val="00D34B69"/>
    <w:rsid w:val="00D37A8F"/>
    <w:rsid w:val="00D54398"/>
    <w:rsid w:val="00D80772"/>
    <w:rsid w:val="00D878B6"/>
    <w:rsid w:val="00D92CF9"/>
    <w:rsid w:val="00D931B9"/>
    <w:rsid w:val="00DC72E4"/>
    <w:rsid w:val="00DD2C8C"/>
    <w:rsid w:val="00DF65AE"/>
    <w:rsid w:val="00E0158C"/>
    <w:rsid w:val="00E0618C"/>
    <w:rsid w:val="00E07727"/>
    <w:rsid w:val="00E17A3D"/>
    <w:rsid w:val="00E24887"/>
    <w:rsid w:val="00E42D7B"/>
    <w:rsid w:val="00E45FBC"/>
    <w:rsid w:val="00E70713"/>
    <w:rsid w:val="00E73E3C"/>
    <w:rsid w:val="00E7426C"/>
    <w:rsid w:val="00E905C7"/>
    <w:rsid w:val="00E957A7"/>
    <w:rsid w:val="00EB1672"/>
    <w:rsid w:val="00EC4140"/>
    <w:rsid w:val="00EC48B4"/>
    <w:rsid w:val="00EF0564"/>
    <w:rsid w:val="00EF1AC8"/>
    <w:rsid w:val="00EF30CB"/>
    <w:rsid w:val="00F143D7"/>
    <w:rsid w:val="00F16BDC"/>
    <w:rsid w:val="00F240A4"/>
    <w:rsid w:val="00F30BB5"/>
    <w:rsid w:val="00F321E1"/>
    <w:rsid w:val="00F56748"/>
    <w:rsid w:val="00F56C8D"/>
    <w:rsid w:val="00F63610"/>
    <w:rsid w:val="00FA7703"/>
    <w:rsid w:val="00FC02D5"/>
    <w:rsid w:val="00FC0CC0"/>
    <w:rsid w:val="00FC6058"/>
    <w:rsid w:val="00FE1193"/>
    <w:rsid w:val="00FE45C8"/>
    <w:rsid w:val="01E12860"/>
    <w:rsid w:val="02842D6A"/>
    <w:rsid w:val="032A2993"/>
    <w:rsid w:val="0373273C"/>
    <w:rsid w:val="03FE09E7"/>
    <w:rsid w:val="049475EE"/>
    <w:rsid w:val="04995A99"/>
    <w:rsid w:val="066E0546"/>
    <w:rsid w:val="074F3A0C"/>
    <w:rsid w:val="07F12672"/>
    <w:rsid w:val="09530A93"/>
    <w:rsid w:val="0A00672A"/>
    <w:rsid w:val="0A2D7E90"/>
    <w:rsid w:val="0B42190C"/>
    <w:rsid w:val="0B6930AD"/>
    <w:rsid w:val="0B81537D"/>
    <w:rsid w:val="0BB80DDB"/>
    <w:rsid w:val="0BF642FD"/>
    <w:rsid w:val="0CB12BC8"/>
    <w:rsid w:val="0E4C3131"/>
    <w:rsid w:val="1263003F"/>
    <w:rsid w:val="134F06B3"/>
    <w:rsid w:val="135B2456"/>
    <w:rsid w:val="15C72C7C"/>
    <w:rsid w:val="17837E50"/>
    <w:rsid w:val="198B2753"/>
    <w:rsid w:val="1B890EAE"/>
    <w:rsid w:val="1C1B6A4A"/>
    <w:rsid w:val="1CFA3097"/>
    <w:rsid w:val="1D195AF0"/>
    <w:rsid w:val="216E4553"/>
    <w:rsid w:val="22157812"/>
    <w:rsid w:val="2224077B"/>
    <w:rsid w:val="22D80278"/>
    <w:rsid w:val="23C6438D"/>
    <w:rsid w:val="245C67FB"/>
    <w:rsid w:val="251E3962"/>
    <w:rsid w:val="25F0060D"/>
    <w:rsid w:val="27086A2E"/>
    <w:rsid w:val="28CB623A"/>
    <w:rsid w:val="29BF11B7"/>
    <w:rsid w:val="29F61DFB"/>
    <w:rsid w:val="2A41096D"/>
    <w:rsid w:val="2B27572F"/>
    <w:rsid w:val="2BA90BC2"/>
    <w:rsid w:val="2CCF74F8"/>
    <w:rsid w:val="2DCB31A4"/>
    <w:rsid w:val="2DD54E04"/>
    <w:rsid w:val="2E3A5DFF"/>
    <w:rsid w:val="30A34090"/>
    <w:rsid w:val="31BD27BD"/>
    <w:rsid w:val="34426E63"/>
    <w:rsid w:val="34FE5CC9"/>
    <w:rsid w:val="35E27B3F"/>
    <w:rsid w:val="36532AAA"/>
    <w:rsid w:val="36786BD3"/>
    <w:rsid w:val="390F5C7F"/>
    <w:rsid w:val="39635F90"/>
    <w:rsid w:val="39DC5425"/>
    <w:rsid w:val="3A1B0DBE"/>
    <w:rsid w:val="3B702E13"/>
    <w:rsid w:val="3CA12F51"/>
    <w:rsid w:val="3DA904CF"/>
    <w:rsid w:val="3EE4262A"/>
    <w:rsid w:val="3F0B08B1"/>
    <w:rsid w:val="3F790295"/>
    <w:rsid w:val="3FF600DA"/>
    <w:rsid w:val="430E2866"/>
    <w:rsid w:val="44BA7F63"/>
    <w:rsid w:val="46946CD2"/>
    <w:rsid w:val="47347026"/>
    <w:rsid w:val="48AE006C"/>
    <w:rsid w:val="4B2C76CB"/>
    <w:rsid w:val="4CDD05C2"/>
    <w:rsid w:val="4F716D4F"/>
    <w:rsid w:val="51C32003"/>
    <w:rsid w:val="532F2B00"/>
    <w:rsid w:val="54B85D25"/>
    <w:rsid w:val="553D5770"/>
    <w:rsid w:val="55BD1B68"/>
    <w:rsid w:val="55D74064"/>
    <w:rsid w:val="56EE4D24"/>
    <w:rsid w:val="58A02062"/>
    <w:rsid w:val="58B5775B"/>
    <w:rsid w:val="58F507E4"/>
    <w:rsid w:val="59EE793D"/>
    <w:rsid w:val="5A19116D"/>
    <w:rsid w:val="5A473648"/>
    <w:rsid w:val="5C1B304E"/>
    <w:rsid w:val="5DA83F87"/>
    <w:rsid w:val="5DDE0FE7"/>
    <w:rsid w:val="5E043397"/>
    <w:rsid w:val="6022480C"/>
    <w:rsid w:val="63EB1D9C"/>
    <w:rsid w:val="64752B3C"/>
    <w:rsid w:val="64FF4FEE"/>
    <w:rsid w:val="659D0BDD"/>
    <w:rsid w:val="66A72C8A"/>
    <w:rsid w:val="6835352A"/>
    <w:rsid w:val="6873113A"/>
    <w:rsid w:val="6BD11E6A"/>
    <w:rsid w:val="6C840ABE"/>
    <w:rsid w:val="6D866700"/>
    <w:rsid w:val="6D8C6C3A"/>
    <w:rsid w:val="7166207E"/>
    <w:rsid w:val="71924E5E"/>
    <w:rsid w:val="71D95D91"/>
    <w:rsid w:val="74B45060"/>
    <w:rsid w:val="77253DF8"/>
    <w:rsid w:val="78CA0435"/>
    <w:rsid w:val="7A587F38"/>
    <w:rsid w:val="7A717FC0"/>
    <w:rsid w:val="7C28043A"/>
    <w:rsid w:val="7E3F6BD7"/>
    <w:rsid w:val="7F4116D0"/>
    <w:rsid w:val="7F6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nhideWhenUsed="0" w:uiPriority="99" w:semiHidden="0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autoRedefine/>
    <w:qFormat/>
    <w:locked/>
    <w:uiPriority w:val="99"/>
    <w:pPr>
      <w:widowControl/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6"/>
    <w:basedOn w:val="1"/>
    <w:next w:val="1"/>
    <w:link w:val="12"/>
    <w:autoRedefine/>
    <w:qFormat/>
    <w:locked/>
    <w:uiPriority w:val="99"/>
    <w:pPr>
      <w:keepNext/>
      <w:keepLines/>
      <w:spacing w:before="240" w:after="64" w:line="320" w:lineRule="auto"/>
      <w:outlineLvl w:val="5"/>
    </w:pPr>
    <w:rPr>
      <w:rFonts w:ascii="Arial" w:hAnsi="Arial" w:eastAsia="黑体" w:cs="Arial"/>
      <w:b/>
      <w:bCs/>
      <w:sz w:val="24"/>
      <w:szCs w:val="24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locked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Plain Text"/>
    <w:basedOn w:val="1"/>
    <w:qFormat/>
    <w:locked/>
    <w:uiPriority w:val="0"/>
    <w:rPr>
      <w:rFonts w:ascii="宋体" w:hAnsi="Courier New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2 Char"/>
    <w:basedOn w:val="10"/>
    <w:link w:val="2"/>
    <w:autoRedefine/>
    <w:semiHidden/>
    <w:qFormat/>
    <w:locked/>
    <w:uiPriority w:val="99"/>
    <w:rPr>
      <w:rFonts w:ascii="宋体" w:hAnsi="宋体" w:eastAsia="宋体" w:cs="宋体"/>
      <w:b/>
      <w:bCs/>
      <w:sz w:val="36"/>
      <w:szCs w:val="36"/>
      <w:lang w:val="en-US" w:eastAsia="zh-CN"/>
    </w:rPr>
  </w:style>
  <w:style w:type="character" w:customStyle="1" w:styleId="12">
    <w:name w:val="Heading 6 Char"/>
    <w:basedOn w:val="10"/>
    <w:link w:val="3"/>
    <w:autoRedefine/>
    <w:semiHidden/>
    <w:qFormat/>
    <w:locked/>
    <w:uiPriority w:val="99"/>
    <w:rPr>
      <w:rFonts w:ascii="Arial" w:hAnsi="Arial" w:eastAsia="黑体" w:cs="Arial"/>
      <w:b/>
      <w:bCs/>
      <w:kern w:val="2"/>
      <w:sz w:val="24"/>
      <w:szCs w:val="24"/>
      <w:lang w:val="en-US" w:eastAsia="zh-CN"/>
    </w:rPr>
  </w:style>
  <w:style w:type="character" w:customStyle="1" w:styleId="13">
    <w:name w:val="Footer Char"/>
    <w:basedOn w:val="10"/>
    <w:link w:val="6"/>
    <w:autoRedefine/>
    <w:qFormat/>
    <w:locked/>
    <w:uiPriority w:val="99"/>
    <w:rPr>
      <w:kern w:val="2"/>
      <w:sz w:val="18"/>
      <w:szCs w:val="18"/>
    </w:rPr>
  </w:style>
  <w:style w:type="character" w:customStyle="1" w:styleId="14">
    <w:name w:val="Header Char"/>
    <w:basedOn w:val="10"/>
    <w:link w:val="7"/>
    <w:autoRedefine/>
    <w:qFormat/>
    <w:locked/>
    <w:uiPriority w:val="99"/>
    <w:rPr>
      <w:kern w:val="2"/>
      <w:sz w:val="18"/>
      <w:szCs w:val="18"/>
    </w:rPr>
  </w:style>
  <w:style w:type="paragraph" w:customStyle="1" w:styleId="15">
    <w:name w:val="普通(网站) Char"/>
    <w:basedOn w:val="1"/>
    <w:autoRedefine/>
    <w:qFormat/>
    <w:uiPriority w:val="99"/>
    <w:pPr>
      <w:widowControl/>
      <w:spacing w:beforeAutospacing="1" w:afterAutospacing="1" w:line="36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_Style 1"/>
    <w:basedOn w:val="1"/>
    <w:autoRedefine/>
    <w:qFormat/>
    <w:uiPriority w:val="99"/>
    <w:pPr>
      <w:widowControl/>
      <w:spacing w:after="160" w:line="240" w:lineRule="exact"/>
      <w:ind w:firstLine="420" w:firstLineChars="200"/>
      <w:jc w:val="left"/>
    </w:pPr>
    <w:rPr>
      <w:rFonts w:ascii="Times New Roman" w:hAnsi="Times New Roman" w:cs="Times New Roman"/>
    </w:rPr>
  </w:style>
  <w:style w:type="paragraph" w:customStyle="1" w:styleId="17">
    <w:name w:val="Char Char"/>
    <w:basedOn w:val="1"/>
    <w:autoRedefine/>
    <w:qFormat/>
    <w:uiPriority w:val="99"/>
    <w:pPr>
      <w:widowControl/>
      <w:spacing w:after="160" w:line="240" w:lineRule="exact"/>
      <w:ind w:firstLine="420" w:firstLineChars="200"/>
      <w:jc w:val="left"/>
    </w:pPr>
    <w:rPr>
      <w:rFonts w:ascii="Times New Roman" w:hAnsi="Times New Roman" w:cs="Times New Roman"/>
    </w:rPr>
  </w:style>
  <w:style w:type="paragraph" w:customStyle="1" w:styleId="18">
    <w:name w:val="Char Char1"/>
    <w:basedOn w:val="1"/>
    <w:autoRedefine/>
    <w:qFormat/>
    <w:uiPriority w:val="99"/>
    <w:pPr>
      <w:widowControl/>
      <w:spacing w:after="160" w:line="240" w:lineRule="exact"/>
      <w:ind w:firstLine="420" w:firstLineChars="200"/>
      <w:jc w:val="left"/>
    </w:pPr>
    <w:rPr>
      <w:rFonts w:ascii="Times New Roman" w:hAnsi="Times New Roman" w:cs="Times New Roman"/>
    </w:rPr>
  </w:style>
  <w:style w:type="paragraph" w:customStyle="1" w:styleId="19">
    <w:name w:val="Char Char2"/>
    <w:basedOn w:val="1"/>
    <w:autoRedefine/>
    <w:qFormat/>
    <w:uiPriority w:val="99"/>
    <w:pPr>
      <w:widowControl/>
      <w:spacing w:after="160" w:line="240" w:lineRule="exact"/>
      <w:ind w:firstLine="420" w:firstLineChars="200"/>
      <w:jc w:val="left"/>
    </w:pPr>
    <w:rPr>
      <w:rFonts w:ascii="Times New Roman" w:hAnsi="Times New Roman" w:cs="Times New Roman"/>
    </w:rPr>
  </w:style>
  <w:style w:type="paragraph" w:customStyle="1" w:styleId="20">
    <w:name w:val="Char Char3"/>
    <w:basedOn w:val="1"/>
    <w:autoRedefine/>
    <w:qFormat/>
    <w:uiPriority w:val="99"/>
    <w:pPr>
      <w:widowControl/>
      <w:spacing w:after="160" w:line="240" w:lineRule="exact"/>
      <w:ind w:firstLine="420" w:firstLineChars="200"/>
      <w:jc w:val="left"/>
    </w:pPr>
    <w:rPr>
      <w:rFonts w:ascii="Times New Roman" w:hAnsi="Times New Roman" w:cs="Times New Roman"/>
    </w:rPr>
  </w:style>
  <w:style w:type="paragraph" w:customStyle="1" w:styleId="21">
    <w:name w:val="Char Char4"/>
    <w:basedOn w:val="1"/>
    <w:autoRedefine/>
    <w:qFormat/>
    <w:uiPriority w:val="99"/>
    <w:pPr>
      <w:widowControl/>
      <w:spacing w:after="160" w:line="240" w:lineRule="exact"/>
      <w:ind w:firstLine="420" w:firstLineChars="200"/>
      <w:jc w:val="left"/>
    </w:pPr>
    <w:rPr>
      <w:rFonts w:ascii="Times New Roman" w:hAnsi="Times New Roman" w:cs="Times New Roman"/>
    </w:rPr>
  </w:style>
  <w:style w:type="paragraph" w:customStyle="1" w:styleId="22">
    <w:name w:val="Char Char5"/>
    <w:basedOn w:val="1"/>
    <w:autoRedefine/>
    <w:qFormat/>
    <w:uiPriority w:val="99"/>
    <w:pPr>
      <w:widowControl/>
      <w:spacing w:after="160" w:line="240" w:lineRule="exact"/>
      <w:ind w:firstLine="420" w:firstLineChars="200"/>
      <w:jc w:val="left"/>
    </w:pPr>
    <w:rPr>
      <w:rFonts w:ascii="Times New Roman" w:hAnsi="Times New Roman" w:cs="Times New Roman"/>
    </w:rPr>
  </w:style>
  <w:style w:type="table" w:customStyle="1" w:styleId="2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3877</Words>
  <Characters>3931</Characters>
  <Lines>0</Lines>
  <Paragraphs>0</Paragraphs>
  <TotalTime>37</TotalTime>
  <ScaleCrop>false</ScaleCrop>
  <LinksUpToDate>false</LinksUpToDate>
  <CharactersWithSpaces>4172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2019-11-26T05:23:00Z</dcterms:created>
  <dc:creator>Zhang</dc:creator>
  <cp:lastModifiedBy>阳明拍卖</cp:lastModifiedBy>
  <cp:lastPrinted>2025-06-25T07:02:00Z</cp:lastPrinted>
  <dcterms:modified xsi:type="dcterms:W3CDTF">2025-07-04T03:41:07Z</dcterms:modified>
  <dc:title>渣土（建筑垃圾）处置服务协议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A5B3BBFD6024409D9CF084C141D5A6D7</vt:lpwstr>
  </property>
  <property fmtid="{D5CDD505-2E9C-101B-9397-08002B2CF9AE}" pid="4" name="KSOTemplateDocerSaveRecord">
    <vt:lpwstr>eyJoZGlkIjoiOTE4MzliMTcwNWY4NjBlY2Q1YmRkYzJiMjI1YWFhNDAiLCJ1c2VySWQiOiI2NDI4NjU5NTMifQ==</vt:lpwstr>
  </property>
</Properties>
</file>