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7424">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6D49C61A">
      <w:pPr>
        <w:spacing w:line="440" w:lineRule="atLeast"/>
        <w:jc w:val="center"/>
        <w:rPr>
          <w:rFonts w:hint="eastAsia" w:ascii="宋体" w:hAnsi="宋体"/>
          <w:b/>
          <w:color w:val="000000"/>
          <w:sz w:val="52"/>
          <w:szCs w:val="52"/>
        </w:rPr>
      </w:pPr>
    </w:p>
    <w:p w14:paraId="357D88E8">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10B03CF0">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3E17070B">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588AFF23">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34494245">
      <w:pPr>
        <w:spacing w:line="440" w:lineRule="atLeast"/>
        <w:jc w:val="center"/>
        <w:rPr>
          <w:rFonts w:hint="eastAsia" w:ascii="宋体" w:hAnsi="宋体"/>
          <w:b/>
          <w:bCs/>
          <w:color w:val="000000"/>
          <w:sz w:val="52"/>
          <w:szCs w:val="52"/>
        </w:rPr>
      </w:pPr>
    </w:p>
    <w:p w14:paraId="293F8D88">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049F3203">
      <w:pPr>
        <w:spacing w:line="600" w:lineRule="exact"/>
        <w:ind w:left="1906" w:leftChars="820" w:right="-107" w:rightChars="-51" w:hanging="184" w:hangingChars="77"/>
        <w:rPr>
          <w:rFonts w:hint="eastAsia" w:ascii="Times New Roman" w:hAnsi="Times New Roman" w:eastAsia="宋体" w:cs="Times New Roman"/>
          <w:b w:val="0"/>
          <w:bCs w:val="0"/>
          <w:color w:val="000000"/>
          <w:sz w:val="24"/>
        </w:rPr>
      </w:pPr>
      <w:r>
        <w:rPr>
          <w:rFonts w:hint="eastAsia" w:ascii="Times New Roman" w:hAnsi="Times New Roman" w:eastAsia="宋体" w:cs="Times New Roman"/>
          <w:b w:val="0"/>
          <w:bCs w:val="0"/>
          <w:color w:val="000000"/>
          <w:sz w:val="24"/>
          <w:lang w:eastAsia="zh-CN"/>
        </w:rPr>
        <w:t>多余土石料（第三次）</w:t>
      </w:r>
      <w:r>
        <w:rPr>
          <w:rFonts w:hint="eastAsia" w:ascii="Times New Roman" w:hAnsi="Times New Roman" w:eastAsia="宋体" w:cs="Times New Roman"/>
          <w:b w:val="0"/>
          <w:bCs w:val="0"/>
          <w:color w:val="000000"/>
          <w:sz w:val="24"/>
        </w:rPr>
        <w:t>网络拍卖会</w:t>
      </w:r>
    </w:p>
    <w:p w14:paraId="46E51EFE">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7D9ACC39">
      <w:pPr>
        <w:spacing w:line="600" w:lineRule="exact"/>
        <w:ind w:left="1910" w:leftChars="706" w:right="-107" w:rightChars="-51" w:hanging="427" w:hangingChars="178"/>
        <w:rPr>
          <w:rFonts w:hint="eastAsia" w:ascii="宋体" w:hAnsi="宋体" w:eastAsia="宋体" w:cs="宋体"/>
          <w:color w:val="000000"/>
          <w:kern w:val="0"/>
          <w:sz w:val="24"/>
          <w:lang w:eastAsia="zh-CN"/>
        </w:rPr>
      </w:pPr>
      <w:r>
        <w:rPr>
          <w:rFonts w:hint="eastAsia" w:ascii="Times New Roman" w:hAnsi="Times New Roman" w:eastAsia="宋体" w:cs="Times New Roman"/>
          <w:b w:val="0"/>
          <w:bCs w:val="0"/>
          <w:color w:val="000000"/>
          <w:sz w:val="24"/>
          <w:lang w:eastAsia="zh-CN"/>
        </w:rPr>
        <w:t>多余土石料</w:t>
      </w:r>
    </w:p>
    <w:p w14:paraId="4AEB010A">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8月20日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21A6C4C0">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37A16C33">
      <w:pPr>
        <w:spacing w:after="93" w:afterLines="30" w:line="500" w:lineRule="exact"/>
        <w:rPr>
          <w:rFonts w:hint="eastAsia" w:ascii="宋体" w:hAnsi="宋体" w:cs="宋体"/>
          <w:b/>
          <w:color w:val="000000"/>
          <w:kern w:val="0"/>
          <w:sz w:val="24"/>
        </w:rPr>
      </w:pPr>
    </w:p>
    <w:p w14:paraId="6256B1BD">
      <w:pPr>
        <w:spacing w:after="93" w:afterLines="30" w:line="500" w:lineRule="exact"/>
        <w:ind w:firstLine="283" w:firstLineChars="118"/>
        <w:rPr>
          <w:rFonts w:hint="eastAsia" w:ascii="宋体" w:hAnsi="宋体"/>
          <w:color w:val="000000"/>
          <w:sz w:val="24"/>
        </w:rPr>
      </w:pPr>
    </w:p>
    <w:p w14:paraId="1CE901A6">
      <w:pPr>
        <w:spacing w:after="93" w:afterLines="30" w:line="500" w:lineRule="exact"/>
        <w:ind w:firstLine="283" w:firstLineChars="118"/>
        <w:rPr>
          <w:rFonts w:hint="eastAsia" w:ascii="宋体" w:hAnsi="宋体"/>
          <w:color w:val="000000"/>
          <w:sz w:val="24"/>
        </w:rPr>
      </w:pPr>
    </w:p>
    <w:p w14:paraId="17C84B12">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47B36D47">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7B08662F">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000000"/>
          <w:sz w:val="44"/>
          <w:szCs w:val="44"/>
        </w:rPr>
      </w:pPr>
    </w:p>
    <w:p w14:paraId="2B17FE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1BE4AA48">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3154BB91">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2E08205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3276872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3A9532D8">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34E843C1">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余姚市黄山未来社区（黄山西路北侧、开丰路两侧）地块工程多余土石料（以下简称“标的物”），</w:t>
      </w:r>
      <w:r>
        <w:rPr>
          <w:rFonts w:hint="eastAsia" w:ascii="宋体" w:hAnsi="宋体" w:cs="宋体"/>
          <w:color w:val="000000"/>
          <w:sz w:val="24"/>
          <w:szCs w:val="24"/>
          <w:lang w:eastAsia="zh-CN"/>
        </w:rPr>
        <w:t>土石料估算总量：154496立方米（约301880吨），</w:t>
      </w:r>
      <w:r>
        <w:rPr>
          <w:rFonts w:hint="eastAsia" w:ascii="宋体" w:hAnsi="宋体" w:eastAsia="宋体" w:cs="Times New Roman"/>
          <w:color w:val="000000"/>
          <w:sz w:val="24"/>
          <w:lang w:val="en-US" w:eastAsia="zh-CN"/>
        </w:rPr>
        <w:t>其中残坡积土55826立方米（约105511吨），全风化角砾岩97067立方米（约193163吨），强风化角砾岩1603立方米（约3206吨）。起拍价：人民币503739元；竞买保证金：人民币100000元。</w:t>
      </w:r>
      <w:r>
        <w:rPr>
          <w:rFonts w:hint="eastAsia" w:ascii="宋体" w:hAnsi="宋体" w:eastAsia="宋体" w:cs="宋体"/>
          <w:b w:val="0"/>
          <w:bCs/>
          <w:color w:val="000000"/>
          <w:kern w:val="0"/>
          <w:sz w:val="24"/>
          <w:szCs w:val="24"/>
          <w:highlight w:val="none"/>
          <w:lang w:eastAsia="zh-CN"/>
        </w:rPr>
        <w:t>交付期限：拍卖成交后180日历天，具体以工程实际开挖进度为准。</w:t>
      </w:r>
      <w:r>
        <w:rPr>
          <w:rFonts w:hint="eastAsia" w:ascii="宋体" w:hAnsi="宋体" w:eastAsia="宋体" w:cs="宋体"/>
          <w:b/>
          <w:bCs w:val="0"/>
          <w:color w:val="000000"/>
          <w:kern w:val="0"/>
          <w:sz w:val="24"/>
          <w:szCs w:val="24"/>
          <w:highlight w:val="none"/>
          <w:lang w:val="en-US" w:eastAsia="zh-CN"/>
        </w:rPr>
        <w:t>项目具体情况详见附件。</w:t>
      </w:r>
    </w:p>
    <w:p w14:paraId="74043939">
      <w:pPr>
        <w:keepNext w:val="0"/>
        <w:keepLines w:val="0"/>
        <w:pageBreakBefore w:val="0"/>
        <w:widowControl w:val="0"/>
        <w:kinsoku/>
        <w:wordWrap/>
        <w:overflowPunct/>
        <w:topLinePunct w:val="0"/>
        <w:autoSpaceDE/>
        <w:autoSpaceDN/>
        <w:bidi w:val="0"/>
        <w:adjustRightInd/>
        <w:snapToGrid/>
        <w:spacing w:before="91" w:line="500" w:lineRule="exact"/>
        <w:ind w:firstLine="482" w:firstLineChars="200"/>
        <w:textAlignment w:val="auto"/>
        <w:rPr>
          <w:rFonts w:hint="default" w:ascii="宋体" w:hAnsi="宋体" w:cs="宋体"/>
          <w:b w:val="0"/>
          <w:bCs w:val="0"/>
          <w:color w:val="000000"/>
          <w:kern w:val="0"/>
          <w:sz w:val="24"/>
          <w:szCs w:val="24"/>
          <w:lang w:val="en-US" w:eastAsia="zh-CN"/>
        </w:rPr>
      </w:pPr>
      <w:r>
        <w:rPr>
          <w:rFonts w:hint="eastAsia" w:ascii="宋体" w:hAnsi="宋体" w:cs="宋体"/>
          <w:b/>
          <w:bCs/>
          <w:color w:val="000000"/>
          <w:kern w:val="0"/>
          <w:sz w:val="24"/>
          <w:szCs w:val="24"/>
          <w:lang w:eastAsia="zh-CN"/>
        </w:rPr>
        <w:t>注：（一）估算说明：</w:t>
      </w:r>
      <w:r>
        <w:rPr>
          <w:rFonts w:hint="eastAsia" w:ascii="宋体" w:hAnsi="宋体" w:cs="宋体"/>
          <w:b w:val="0"/>
          <w:bCs w:val="0"/>
          <w:color w:val="000000"/>
          <w:kern w:val="0"/>
          <w:sz w:val="24"/>
          <w:szCs w:val="24"/>
          <w:lang w:eastAsia="zh-CN"/>
        </w:rPr>
        <w:t>拍卖前，委托人委托宁波冶金勘察设计研究股份有限公司进行了勘查，出具了《余姚市黄山未来社区（黄山西路北侧、开丰路两侧）地块开挖土石方量估算报告》，委托浙江之源资产评估有限公司进行了评估，出具了《余姚市黄山未来社区（黄山西路北侧、开丰路两侧地块）土石方处置价值评估咨询报告书》（浙之咨字</w:t>
      </w:r>
      <w:r>
        <w:rPr>
          <w:rFonts w:hint="eastAsia" w:ascii="宋体" w:hAnsi="宋体" w:cs="宋体"/>
          <w:b w:val="0"/>
          <w:bCs w:val="0"/>
          <w:color w:val="000000"/>
          <w:kern w:val="0"/>
          <w:sz w:val="24"/>
          <w:szCs w:val="24"/>
          <w:lang w:val="en-US" w:eastAsia="zh-CN"/>
        </w:rPr>
        <w:t>[2025]28号）</w:t>
      </w:r>
      <w:r>
        <w:rPr>
          <w:rFonts w:hint="eastAsia" w:ascii="宋体" w:hAnsi="宋体" w:cs="宋体"/>
          <w:b w:val="0"/>
          <w:bCs w:val="0"/>
          <w:color w:val="000000"/>
          <w:kern w:val="0"/>
          <w:sz w:val="24"/>
          <w:szCs w:val="24"/>
          <w:lang w:eastAsia="zh-CN"/>
        </w:rPr>
        <w:t>。价值评估咨询报告书是委托人确定拍卖起拍价的参考依据，并不作为最终确定拍卖成交价的构成依据。由于估算报告、价值评估咨询报告书系相关机构在特定假设、限制条件下作出的，其结论的内容引用了现场状态，与资产现值及实际状况存在一定差异，使用时存在局限性。故本次可供查阅的估算报告、价值评估咨询报告书中的信息仅供竞买人参考使用，不作为本次拍卖文件必要的组成附件，不得以此作为成交后的交付依据，具体资产状况须结合实际以移交时标的物的实物现状为准。拍卖成交后，买受人不得因估算报告、价值评估咨询报告书中的描述与拍卖标的按实际现状移交时存在各种品质问题等及资产价值差异向委托人及拍卖人提出异议或赔偿请求。各竞买人务必在拍卖前联系拍卖人熟悉项目用地红线图、《余姚市黄山未来社区（黄山西路北侧、开丰路两侧）地块开挖土石方量估算报告》《余姚市黄山未来社区（黄山西路北侧、开丰路两侧地块）土石方处置价值评估咨询报告书》（浙之咨字[2025]28号）等书面材料，慎重作出决策。</w:t>
      </w:r>
    </w:p>
    <w:p w14:paraId="418B8D7A">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cs="宋体"/>
          <w:color w:val="000000"/>
          <w:kern w:val="0"/>
          <w:sz w:val="24"/>
          <w:szCs w:val="24"/>
          <w:lang w:eastAsia="zh-CN"/>
        </w:rPr>
        <w:t>（二</w:t>
      </w:r>
      <w:r>
        <w:rPr>
          <w:rFonts w:hint="eastAsia" w:ascii="宋体" w:hAnsi="宋体" w:eastAsia="宋体" w:cs="楷体_GB2312"/>
          <w:color w:val="000000"/>
          <w:sz w:val="24"/>
          <w:szCs w:val="24"/>
          <w:lang w:val="en-US" w:eastAsia="zh-CN"/>
        </w:rPr>
        <w:t>）拍卖时的起拍价和成交价均为裸价，不包含任何税、费及买受佣金。在提取过程中所产生的装卸费、场地堆放费、搬运费、运输费、生产管理成本、机械设备费、保险费等一切费用全部由买受人承担。此外，起拍价及成交价也不包含买受人后续运输、加工、经营、销售土石料等过程所产生的各项税费（按现行相关规定缴纳）。</w:t>
      </w:r>
    </w:p>
    <w:p w14:paraId="5D075233">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竞买人在拍卖前须自行向属地税务主管部门咨询各项税费的缴纳标准，并充分考量由此产生的额外成本。竞买人不得因税费问题向委托人或拍卖人提出异议。</w:t>
      </w:r>
    </w:p>
    <w:p w14:paraId="21B6CD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eastAsia="宋体" w:cs="宋体"/>
          <w:color w:val="000000"/>
          <w:kern w:val="0"/>
          <w:sz w:val="24"/>
          <w:szCs w:val="24"/>
          <w:lang w:eastAsia="zh-CN"/>
        </w:rPr>
        <w:t>（三）</w:t>
      </w:r>
      <w:r>
        <w:rPr>
          <w:rFonts w:hint="eastAsia"/>
          <w:color w:val="000000"/>
          <w:sz w:val="24"/>
          <w:szCs w:val="24"/>
        </w:rPr>
        <w:t>标的物的数量、重量、品质均为设计估算</w:t>
      </w:r>
      <w:r>
        <w:rPr>
          <w:rFonts w:hint="eastAsia"/>
          <w:color w:val="000000"/>
          <w:sz w:val="24"/>
          <w:szCs w:val="24"/>
          <w:lang w:eastAsia="zh-CN"/>
        </w:rPr>
        <w:t>，</w:t>
      </w:r>
      <w:r>
        <w:rPr>
          <w:rFonts w:hint="eastAsia" w:ascii="宋体" w:hAnsi="宋体" w:eastAsia="宋体" w:cs="楷体_GB2312"/>
          <w:color w:val="000000"/>
          <w:sz w:val="24"/>
          <w:szCs w:val="24"/>
          <w:lang w:val="en-US" w:eastAsia="zh-CN"/>
        </w:rPr>
        <w:t>根据《余姚市黄山未来社区（黄山西路北侧、开丰路两侧）地块开挖土石方量估算报告》编制，具有不确定性，竞买人在拍卖前须认真仔细了解标的物的实际情况，清楚可能存在的各项风险。标的物的</w:t>
      </w:r>
      <w:r>
        <w:rPr>
          <w:rFonts w:hint="eastAsia"/>
          <w:color w:val="000000"/>
          <w:sz w:val="24"/>
          <w:szCs w:val="24"/>
        </w:rPr>
        <w:t>数量、重量、品质按实际交付为准（交付时不再过磅），如实际交付有差距，则不进行拍卖成交款及买受佣金的退补，相应风险由买受人自行承担。</w:t>
      </w:r>
    </w:p>
    <w:p w14:paraId="375EBC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cs="宋体"/>
          <w:b w:val="0"/>
          <w:bCs w:val="0"/>
          <w:color w:val="000000"/>
          <w:kern w:val="0"/>
          <w:sz w:val="24"/>
          <w:szCs w:val="24"/>
          <w:lang w:eastAsia="zh-CN"/>
        </w:rPr>
        <w:t>（四）</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的使用性和完整性，不提供任何售后服务。</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的瑕疵担保责任，请竞买人慎重决定竞买行为。因标的物现状引发的纠纷均由买受人自行承担，委托人有权从竞买保证金中直接扣除维权费用。一旦报名参与竞买，即视为对</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一切现状及价格的认可，愿意承担法律责任，并且不得以任何理由提出退还</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或拒付拍卖成交款及其他费用。</w:t>
      </w:r>
    </w:p>
    <w:p w14:paraId="1647AA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kern w:val="2"/>
          <w:sz w:val="24"/>
          <w:szCs w:val="24"/>
          <w:lang w:val="en-US" w:eastAsia="zh-CN" w:bidi="ar-SA"/>
        </w:rPr>
      </w:pPr>
      <w:r>
        <w:rPr>
          <w:rFonts w:hint="eastAsia" w:ascii="宋体" w:hAnsi="宋体" w:eastAsia="宋体" w:cs="楷体_GB2312"/>
          <w:color w:val="000000"/>
          <w:kern w:val="2"/>
          <w:sz w:val="24"/>
          <w:szCs w:val="24"/>
          <w:lang w:val="en-US" w:eastAsia="zh-CN" w:bidi="ar-SA"/>
        </w:rPr>
        <w:t>（五）土石料竞买和销售投资属于风险投资，标的物根据工程实际进度进行提取，提取周期较长，土石料市场价格可能会受市场环境和政策等因素的影响而上下波动，存在不可预见的自然因素变化和政策法规调整的风险，竞买人应提前考察与现场踏勘，并详细了解当地市场行情后，慎重作出决策。竞买人必须充分考虑上述因素可能造成的投资风险，并自愿承担由此造成的投资风险。</w:t>
      </w:r>
    </w:p>
    <w:p w14:paraId="3A3A483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4D96F0C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竞买人须自愿接受下列条款以及《</w:t>
      </w:r>
      <w:r>
        <w:rPr>
          <w:rFonts w:hint="eastAsia" w:ascii="宋体" w:hAnsi="宋体"/>
          <w:b/>
          <w:color w:val="000000"/>
          <w:sz w:val="24"/>
          <w:highlight w:val="none"/>
          <w:lang w:eastAsia="zh-CN"/>
        </w:rPr>
        <w:t>土石料买卖合同</w:t>
      </w:r>
      <w:r>
        <w:rPr>
          <w:rFonts w:hint="eastAsia" w:ascii="宋体" w:hAnsi="宋体"/>
          <w:b/>
          <w:color w:val="000000"/>
          <w:sz w:val="24"/>
          <w:highlight w:val="none"/>
        </w:rPr>
        <w:t>（样本）》条款方可参加拍卖：</w:t>
      </w:r>
    </w:p>
    <w:p w14:paraId="54467CA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楷体_GB2312"/>
          <w:color w:val="000000"/>
          <w:sz w:val="24"/>
          <w:szCs w:val="24"/>
        </w:rPr>
        <w:t>签订《</w:t>
      </w:r>
      <w:r>
        <w:rPr>
          <w:rFonts w:hint="eastAsia" w:ascii="宋体" w:hAnsi="宋体" w:eastAsia="宋体" w:cs="楷体_GB2312"/>
          <w:color w:val="000000"/>
          <w:sz w:val="24"/>
          <w:szCs w:val="24"/>
          <w:lang w:eastAsia="zh-CN"/>
        </w:rPr>
        <w:t>土石料买卖合同</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前，</w:t>
      </w:r>
      <w:r>
        <w:rPr>
          <w:rFonts w:hint="eastAsia" w:ascii="宋体" w:hAnsi="宋体" w:eastAsia="宋体" w:cs="楷体_GB2312"/>
          <w:color w:val="000000"/>
          <w:sz w:val="24"/>
          <w:szCs w:val="24"/>
        </w:rPr>
        <w:t>由买受人向</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支付履约保证金【按拍卖成交价的30%收取（四舍五入，整取到千位</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履约保证金收取后，</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应向买受人开具收款凭证。履约保证金不足时，</w:t>
      </w:r>
      <w:r>
        <w:rPr>
          <w:rFonts w:hint="eastAsia" w:ascii="宋体" w:hAnsi="宋体" w:eastAsia="宋体" w:cs="楷体_GB2312"/>
          <w:color w:val="000000"/>
          <w:sz w:val="24"/>
          <w:szCs w:val="24"/>
          <w:lang w:eastAsia="zh-CN"/>
        </w:rPr>
        <w:t>买受人</w:t>
      </w:r>
      <w:r>
        <w:rPr>
          <w:rFonts w:hint="eastAsia" w:ascii="宋体" w:hAnsi="宋体" w:eastAsia="宋体" w:cs="楷体_GB2312"/>
          <w:color w:val="000000"/>
          <w:sz w:val="24"/>
          <w:szCs w:val="24"/>
        </w:rPr>
        <w:t>须在接</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通知后3个工作日内补足。待标的物交付完毕且确认双方无纠纷，由</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一次性退还给</w:t>
      </w:r>
      <w:r>
        <w:rPr>
          <w:rFonts w:hint="eastAsia" w:ascii="宋体" w:hAnsi="宋体" w:eastAsia="宋体" w:cs="楷体_GB2312"/>
          <w:color w:val="000000"/>
          <w:sz w:val="24"/>
          <w:szCs w:val="24"/>
          <w:lang w:eastAsia="zh-CN"/>
        </w:rPr>
        <w:t>买受人履约保证金</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按</w:t>
      </w:r>
      <w:r>
        <w:rPr>
          <w:rFonts w:hint="eastAsia" w:ascii="宋体" w:hAnsi="宋体" w:eastAsia="宋体" w:cs="楷体_GB2312"/>
          <w:color w:val="000000"/>
          <w:sz w:val="24"/>
          <w:szCs w:val="24"/>
        </w:rPr>
        <w:t>银行同期活期存款利率计息）。</w:t>
      </w:r>
    </w:p>
    <w:p w14:paraId="27C686E5">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eastAsia="宋体"/>
          <w:color w:val="000000"/>
          <w:lang w:val="en-US" w:eastAsia="zh-CN"/>
        </w:rPr>
      </w:pPr>
      <w:r>
        <w:rPr>
          <w:rFonts w:hint="eastAsia"/>
          <w:color w:val="000000"/>
          <w:lang w:val="en-US" w:eastAsia="zh-CN"/>
        </w:rPr>
        <w:t xml:space="preserve">     （二）</w:t>
      </w:r>
      <w:r>
        <w:rPr>
          <w:rFonts w:hint="eastAsia" w:ascii="宋体" w:hAnsi="宋体" w:eastAsia="宋体" w:cs="楷体_GB2312"/>
          <w:color w:val="000000"/>
          <w:sz w:val="24"/>
          <w:szCs w:val="24"/>
          <w:lang w:val="en-US" w:eastAsia="zh-CN"/>
        </w:rPr>
        <w:t>买受人竞得标的物后，不得另行转包或违法分包，如发现此类情况，委托人有权收回标的物，对买受人作违约处理，所缴纳的履约保证金不予退还，扣除履约保证金仍不足以弥补对委托人造成的损失，买受人还需赔偿委托人的相应损失。由此产生的经济损失及法律风险均由买受人自行承担。</w:t>
      </w:r>
    </w:p>
    <w:p w14:paraId="76B52DE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三）买受人须遵守相关法律法规，并依据环卫、环保、路政、交警等部门规定，自行办理清运相关手续并承担费用，使用报备车辆，按指定线路进行运输。买受人在清运期间不得影响周边居民、企业的正常生活及生产，确保道路通畅，并应针对扬尘、交通事故、道路破损、噪声、震动导致房屋开裂等问题采取相应措施。若因买受人行为导致影响、危害人身安全或财产损失等后果，相应的责任和费用由买受人自行承担，与委托人无涉。</w:t>
      </w:r>
    </w:p>
    <w:p w14:paraId="7E6B5502">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四）买受人须根据施工进度取料，每次须在接到施工单位开挖通知后48小时内完成土石料的清运，逾期视为自动放弃，委托人有权按废弃物予以处理，相关处置费用由买受人承担（从履约保证金中扣除）。上述情况超过3次，委托人有权提前终止合同，且履约保证金不予退还。施工单位在临时堆场将标的物分批交付于买受人，进入临时堆场后的土石料由买受人自行看管，委托人不承担看管义务，如发生盗窃、丢失等问题，相应风险由买受人自行承担，与委托人无关。标的物接收周期同施工周期，买受人须确保及时提取标的物，以免影响项目施工进度。然而，委托人不对提取标的物的具体时间、单次数量及总次数作出保证，买受人应对此有充分认知，并承诺不因此向委托人提出异议或要求赔偿。</w:t>
      </w:r>
    </w:p>
    <w:p w14:paraId="7A152CC4">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default"/>
          <w:color w:val="000000"/>
          <w:lang w:val="en-US" w:eastAsia="zh-CN"/>
        </w:rPr>
      </w:pPr>
      <w:r>
        <w:rPr>
          <w:rFonts w:hint="eastAsia" w:ascii="宋体" w:hAnsi="宋体" w:eastAsia="宋体" w:cs="楷体_GB2312"/>
          <w:b w:val="0"/>
          <w:bCs w:val="0"/>
          <w:color w:val="000000"/>
          <w:kern w:val="2"/>
          <w:sz w:val="24"/>
          <w:szCs w:val="24"/>
          <w:lang w:val="en-US" w:eastAsia="zh-CN" w:bidi="ar-SA"/>
        </w:rPr>
        <w:t>（五）工程多余土石料按照已有的施工规范及批准施工方案进行开挖。土石料在开挖、爆破、装卸、运输、堆砌、筛选等环节中可能混杂并降低品质，相关风险由竞买人自负，且竞买人无权拒收标的物、向委托人索赔或提出新的开采建议。</w:t>
      </w:r>
    </w:p>
    <w:p w14:paraId="3D056A93">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六）买受人在履约期间，须无条件自行承担各类费用及安全环保责任（包括但不限于装卸、运输、安全事故、各类纠纷、税费等）。买受人须设置冲洗设备和设置，保持环境清洁，不污染路面，如有环境污染问题，移交环保部门和交通综合执法部门处理，相应的责任和费用全部由买受人承担,委托人有权从履约保证金中予以扣除。</w:t>
      </w:r>
    </w:p>
    <w:p w14:paraId="5AF02D5B">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七）买受人使用的作业机械及运输车辆须事先向委托人进行备案，并获得委托人的审批同意，否则不得进行标的物提取。临时堆场内，买受人的作业机械、提货车辆及操作人员均须服从施工单位与监理单位的统一管理。买受人的车辆和作业机械应在委托人指定的位置装卸土石料，并遵守施工单位管理人员的现场指挥。买受人严禁进入项目施工区域，不得干扰余姚市黄山未来社区（黄山西路北侧、开丰路两侧）地块工程的施工活动，且不得占用施工通道。</w:t>
      </w:r>
    </w:p>
    <w:p w14:paraId="4B68D1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八</w:t>
      </w:r>
      <w:r>
        <w:rPr>
          <w:rFonts w:hint="eastAsia" w:ascii="宋体" w:hAnsi="宋体" w:eastAsia="宋体" w:cs="宋体"/>
          <w:color w:val="000000"/>
          <w:sz w:val="24"/>
          <w:highlight w:val="none"/>
        </w:rPr>
        <w:t>）买受人必须按规定线路运输，运输方案须经交警、路政等部门同意后方可实施。提货期间，买受人需配备工作人员做好交通指挥和车辆调度等工作，相关工作人员费用由买受人自理。因买受人原因导致交通拥堵的，</w:t>
      </w:r>
      <w:r>
        <w:rPr>
          <w:rFonts w:hint="eastAsia" w:ascii="宋体" w:hAnsi="宋体" w:eastAsia="宋体" w:cs="宋体"/>
          <w:color w:val="000000"/>
          <w:sz w:val="24"/>
          <w:highlight w:val="none"/>
          <w:lang w:eastAsia="zh-CN"/>
        </w:rPr>
        <w:t>相应的责任和费用均由买受人承担，与委托人无涉</w:t>
      </w:r>
      <w:r>
        <w:rPr>
          <w:rFonts w:hint="eastAsia" w:ascii="宋体" w:hAnsi="宋体" w:eastAsia="宋体" w:cs="宋体"/>
          <w:color w:val="000000"/>
          <w:sz w:val="24"/>
          <w:highlight w:val="none"/>
        </w:rPr>
        <w:t>。</w:t>
      </w:r>
    </w:p>
    <w:p w14:paraId="145EBDC9">
      <w:pPr>
        <w:pStyle w:val="5"/>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为确保土石方提取运输过程安全有序，买受人应当向属地保险机构购买该过程的安全生产责任险，从业人员的施工人员意外险和工伤保险，运输车辆的交强险、第三者责任保险（不低于200万），作业设备的机械设备险。如发生安全事故，所造成的一切损失由买受人自行承担，与委托人无涉。若发生重大安全事故或人员伤亡，买受人应立即采取必要措施抢救伤员，防止事态扩大，减少损失，并即刻通知委托人及相关部门，相关费用由买受人承担。</w:t>
      </w:r>
    </w:p>
    <w:p w14:paraId="4FE38704">
      <w:pPr>
        <w:pStyle w:val="5"/>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因提取运输导致道路、周边房屋、管线等损坏的，买受人应立即做好临时安全措施，且及时做好修复工作，因修复、赔偿产生的一切费用由买受人承担。若买受人未及时修复或赔付，委托人有权代为进行，相关费用将从买受人的履约保证金中直接扣除。待提取完毕后30日内，买受人需对运输线路上的道路进行全面维修，确保其恢复至原状，所有修复费用均由买受人承担。经委托人验收合格后，方可退还保证金。</w:t>
      </w:r>
    </w:p>
    <w:p w14:paraId="3DC4995C">
      <w:pPr>
        <w:pStyle w:val="5"/>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在履约期间，若买受人被第三方投诉或诉讼，买受人须自行妥善处理；若因此产生不良影响及负面社会舆论，将视买受人为违约，委托人有权解除合同，所缴纳的履约保证金概不退还。扣除履约保证金仍不足以弥补对委托人造成的损失，买受人还需赔偿委托人的相应损失。由此产生的经济损失及法律风险均由买受人自行承担。</w:t>
      </w:r>
    </w:p>
    <w:p w14:paraId="327B5216">
      <w:pPr>
        <w:pStyle w:val="5"/>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如在工程实际需求或不可抗力因素启动设计变更时，对原调查与设计方案进行规范调整，导致标的物数量发生变化的，委托人将对拍卖成交款进行多退少补处理[即具体金额按公式“拍卖成交款÷土石料估算量×（土石料估算量－项目变更后土石料估算量）”结算]。买受人需无条件接受此调整，并在收到委托人书面通知后30日内完成补足或退还。</w:t>
      </w:r>
    </w:p>
    <w:p w14:paraId="1DAFD058">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eastAsia="zh-CN"/>
        </w:rPr>
        <w:t>（十三）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《土石料买卖合同（样本）》。</w:t>
      </w:r>
    </w:p>
    <w:p w14:paraId="69256F6A">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35EE7C97">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3B0E948C">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1B219C8A">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095E4EF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229D48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7BB34E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2B51DEA2">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67216EB9">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2C5C7485">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60D414DC">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4E5D0A09">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3E81A764">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403D15A7">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42194AC6">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057F4EA3">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629E4567">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w:t>
      </w:r>
      <w:r>
        <w:rPr>
          <w:rFonts w:hint="eastAsia" w:ascii="宋体" w:hAnsi="宋体"/>
          <w:color w:val="000000"/>
          <w:sz w:val="24"/>
          <w:highlight w:val="none"/>
        </w:rPr>
        <w:t>（按银行同期活期存款利率计息）凭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土石料买卖合同</w:t>
      </w:r>
      <w:r>
        <w:rPr>
          <w:rFonts w:hint="eastAsia" w:ascii="宋体" w:hAnsi="宋体" w:cs="宋体"/>
          <w:color w:val="000000"/>
          <w:kern w:val="0"/>
          <w:sz w:val="24"/>
          <w:highlight w:val="none"/>
        </w:rPr>
        <w:t>》</w:t>
      </w:r>
      <w:r>
        <w:rPr>
          <w:rFonts w:hint="eastAsia" w:ascii="宋体" w:hAnsi="宋体"/>
          <w:color w:val="000000"/>
          <w:sz w:val="24"/>
          <w:highlight w:val="none"/>
          <w:lang w:eastAsia="zh-CN"/>
        </w:rPr>
        <w:t>复印件</w:t>
      </w:r>
      <w:r>
        <w:rPr>
          <w:rFonts w:hint="eastAsia" w:ascii="宋体" w:hAnsi="宋体"/>
          <w:color w:val="000000"/>
          <w:sz w:val="24"/>
          <w:highlight w:val="none"/>
        </w:rPr>
        <w:t xml:space="preserve">到拍卖人处退还。  </w:t>
      </w:r>
    </w:p>
    <w:p w14:paraId="5DE0672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6C9A005E">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8月25日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hint="eastAsia" w:ascii="宋体" w:hAnsi="宋体" w:cs="宋体"/>
          <w:color w:val="000000"/>
          <w:kern w:val="0"/>
          <w:sz w:val="24"/>
        </w:rPr>
        <w:t>向委托人一次性付清拍卖成交款和履约保证金，同时向拍卖人支付拍卖成交价4%的买受佣金，</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2025年8月26日-</w:t>
      </w:r>
      <w:r>
        <w:rPr>
          <w:rFonts w:hint="eastAsia" w:ascii="宋体" w:hAnsi="宋体" w:cs="宋体"/>
          <w:b w:val="0"/>
          <w:bCs/>
          <w:color w:val="000000"/>
          <w:kern w:val="0"/>
          <w:sz w:val="24"/>
          <w:lang w:val="en-US" w:eastAsia="zh-CN"/>
        </w:rPr>
        <w:t>8月27日</w:t>
      </w:r>
      <w:r>
        <w:rPr>
          <w:rFonts w:hint="eastAsia" w:ascii="宋体" w:hAnsi="宋体" w:cs="宋体"/>
          <w:color w:val="000000"/>
          <w:kern w:val="0"/>
          <w:sz w:val="24"/>
          <w:lang w:val="en-US" w:eastAsia="zh-CN"/>
        </w:rPr>
        <w:t>（上午8:30—11:30，下午2:30—4:30）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w:t>
      </w:r>
      <w:r>
        <w:rPr>
          <w:rFonts w:hint="eastAsia" w:ascii="宋体" w:hAnsi="宋体"/>
          <w:color w:val="000000"/>
          <w:sz w:val="24"/>
        </w:rPr>
        <w:t xml:space="preserve">  </w:t>
      </w:r>
    </w:p>
    <w:p w14:paraId="0D950A8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highlight w:val="none"/>
        </w:rPr>
      </w:pPr>
      <w:r>
        <w:rPr>
          <w:rFonts w:hint="eastAsia" w:ascii="宋体" w:hAnsi="宋体"/>
          <w:b/>
          <w:bCs/>
          <w:color w:val="000000"/>
          <w:sz w:val="24"/>
          <w:highlight w:val="none"/>
          <w:lang w:eastAsia="zh-CN"/>
        </w:rPr>
        <w:t>拍卖成交款</w:t>
      </w:r>
      <w:r>
        <w:rPr>
          <w:rFonts w:ascii="宋体" w:hAnsi="宋体"/>
          <w:b/>
          <w:bCs/>
          <w:color w:val="000000"/>
          <w:sz w:val="24"/>
          <w:highlight w:val="none"/>
        </w:rPr>
        <w:t>和履约保证金</w:t>
      </w:r>
      <w:r>
        <w:rPr>
          <w:rFonts w:hint="eastAsia" w:ascii="宋体" w:hAnsi="宋体" w:eastAsia="宋体" w:cs="Times New Roman"/>
          <w:b/>
          <w:bCs/>
          <w:color w:val="000000"/>
          <w:sz w:val="24"/>
          <w:highlight w:val="none"/>
          <w:lang w:val="en-US" w:eastAsia="zh-CN"/>
        </w:rPr>
        <w:t>请汇入委托人账户</w:t>
      </w:r>
      <w:r>
        <w:rPr>
          <w:rFonts w:hint="eastAsia" w:ascii="宋体" w:hAnsi="宋体" w:eastAsia="宋体" w:cs="Times New Roman"/>
          <w:color w:val="000000"/>
          <w:sz w:val="24"/>
          <w:highlight w:val="none"/>
          <w:lang w:val="en-US" w:eastAsia="zh-CN"/>
        </w:rPr>
        <w:t>（户名：余姚市城市建设投资发展有限公司；开户银行：工商银行余姚分行；账号：3901310009001012447）。</w:t>
      </w:r>
    </w:p>
    <w:p w14:paraId="7CA63FC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b/>
          <w:color w:val="000000"/>
          <w:sz w:val="24"/>
        </w:rPr>
        <w:t>买受佣金请汇入拍卖人账户</w:t>
      </w:r>
      <w:r>
        <w:rPr>
          <w:rFonts w:hint="eastAsia"/>
          <w:color w:val="000000"/>
          <w:sz w:val="24"/>
        </w:rPr>
        <w:t>（户名：宁波阳明拍卖有限公司，开户行：中信银行余姚支行，账号：</w:t>
      </w:r>
      <w:r>
        <w:rPr>
          <w:rFonts w:hint="eastAsia" w:ascii="宋体" w:hAnsi="宋体" w:eastAsia="宋体" w:cs="Times New Roman"/>
          <w:color w:val="000000"/>
          <w:sz w:val="24"/>
          <w:highlight w:val="none"/>
          <w:lang w:val="en-US" w:eastAsia="zh-CN"/>
        </w:rPr>
        <w:t>8114701084445008888</w:t>
      </w:r>
      <w:r>
        <w:rPr>
          <w:rFonts w:hint="eastAsia"/>
          <w:color w:val="000000"/>
          <w:sz w:val="24"/>
        </w:rPr>
        <w:t>）。</w:t>
      </w:r>
    </w:p>
    <w:p w14:paraId="0C2D6F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ascii="宋体" w:hAnsi="宋体" w:cs="宋体"/>
          <w:color w:val="000000"/>
          <w:kern w:val="0"/>
          <w:sz w:val="24"/>
        </w:rPr>
        <w:t>拍卖</w:t>
      </w:r>
      <w:r>
        <w:rPr>
          <w:rFonts w:ascii="宋体" w:hAnsi="宋体" w:cs="宋体"/>
          <w:color w:val="000000"/>
          <w:kern w:val="0"/>
          <w:sz w:val="24"/>
          <w:highlight w:val="none"/>
        </w:rPr>
        <w:t>人出具买受佣金发票，</w:t>
      </w:r>
      <w:r>
        <w:rPr>
          <w:rFonts w:hint="eastAsia" w:ascii="宋体" w:hAnsi="宋体" w:cs="宋体"/>
          <w:color w:val="000000"/>
          <w:kern w:val="0"/>
          <w:sz w:val="24"/>
          <w:highlight w:val="none"/>
          <w:lang w:eastAsia="zh-CN"/>
        </w:rPr>
        <w:t>委托人仅出具往来款收据</w:t>
      </w:r>
      <w:r>
        <w:rPr>
          <w:rFonts w:ascii="宋体" w:hAnsi="宋体" w:cs="宋体"/>
          <w:color w:val="000000"/>
          <w:kern w:val="0"/>
          <w:sz w:val="24"/>
          <w:highlight w:val="none"/>
        </w:rPr>
        <w:t>。</w:t>
      </w:r>
    </w:p>
    <w:p w14:paraId="595CF078">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土石料买卖合同</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7C5E814D">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07ED8926">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2CA2A07E">
      <w:pPr>
        <w:keepNext w:val="0"/>
        <w:keepLines w:val="0"/>
        <w:pageBreakBefore w:val="0"/>
        <w:widowControl w:val="0"/>
        <w:numPr>
          <w:numId w:val="0"/>
        </w:numPr>
        <w:kinsoku/>
        <w:wordWrap/>
        <w:overflowPunct/>
        <w:topLinePunct w:val="0"/>
        <w:autoSpaceDE/>
        <w:autoSpaceDN/>
        <w:bidi w:val="0"/>
        <w:adjustRightInd/>
        <w:snapToGrid/>
        <w:spacing w:line="500" w:lineRule="exact"/>
        <w:ind w:firstLine="482" w:firstLineChars="200"/>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四</w:t>
      </w:r>
      <w:r>
        <w:rPr>
          <w:rFonts w:ascii="宋体" w:hAnsi="宋体" w:cs="宋体"/>
          <w:b/>
          <w:bCs/>
          <w:color w:val="000000"/>
          <w:kern w:val="0"/>
          <w:sz w:val="24"/>
        </w:rPr>
        <w:t>条</w:t>
      </w:r>
      <w:r>
        <w:rPr>
          <w:rFonts w:hint="eastAsia" w:ascii="宋体" w:hAnsi="宋体" w:cs="宋体"/>
          <w:b/>
          <w:bCs/>
          <w:color w:val="000000"/>
          <w:kern w:val="0"/>
          <w:sz w:val="24"/>
          <w:lang w:val="en-US" w:eastAsia="zh-CN"/>
        </w:rPr>
        <w:t xml:space="preserve">  </w:t>
      </w:r>
      <w:r>
        <w:rPr>
          <w:rFonts w:hint="eastAsia" w:ascii="宋体" w:hAnsi="宋体"/>
          <w:b w:val="0"/>
          <w:bCs/>
          <w:color w:val="000000"/>
          <w:sz w:val="24"/>
        </w:rPr>
        <w:t>标的物交付：签订《土石料买卖合同》后，根据工程实际开挖进度，由</w:t>
      </w:r>
      <w:r>
        <w:rPr>
          <w:rFonts w:hint="eastAsia" w:ascii="宋体" w:hAnsi="宋体"/>
          <w:b w:val="0"/>
          <w:bCs/>
          <w:color w:val="000000"/>
          <w:sz w:val="24"/>
          <w:lang w:eastAsia="zh-CN"/>
        </w:rPr>
        <w:t>委托人</w:t>
      </w:r>
      <w:r>
        <w:rPr>
          <w:rFonts w:hint="eastAsia" w:ascii="宋体" w:hAnsi="宋体"/>
          <w:b w:val="0"/>
          <w:bCs/>
          <w:color w:val="000000"/>
          <w:sz w:val="24"/>
        </w:rPr>
        <w:t>委托施工单位将标的物分批次交付给买受人。</w:t>
      </w:r>
    </w:p>
    <w:p w14:paraId="5038C3A5">
      <w:pPr>
        <w:keepNext w:val="0"/>
        <w:keepLines w:val="0"/>
        <w:pageBreakBefore w:val="0"/>
        <w:widowControl w:val="0"/>
        <w:numPr>
          <w:numId w:val="0"/>
        </w:numPr>
        <w:kinsoku/>
        <w:wordWrap/>
        <w:overflowPunct/>
        <w:topLinePunct w:val="0"/>
        <w:autoSpaceDE/>
        <w:autoSpaceDN/>
        <w:bidi w:val="0"/>
        <w:adjustRightInd/>
        <w:snapToGrid/>
        <w:spacing w:line="500" w:lineRule="exact"/>
        <w:ind w:firstLine="482" w:firstLineChars="200"/>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五</w:t>
      </w:r>
      <w:bookmarkStart w:id="1" w:name="_GoBack"/>
      <w:bookmarkEnd w:id="1"/>
      <w:r>
        <w:rPr>
          <w:rFonts w:ascii="宋体" w:hAnsi="宋体" w:cs="宋体"/>
          <w:b/>
          <w:bCs/>
          <w:color w:val="000000"/>
          <w:kern w:val="0"/>
          <w:sz w:val="24"/>
        </w:rPr>
        <w:t>条</w:t>
      </w:r>
      <w:r>
        <w:rPr>
          <w:rFonts w:hint="eastAsia" w:ascii="宋体" w:hAnsi="宋体" w:cs="宋体"/>
          <w:b/>
          <w:bCs/>
          <w:color w:val="000000"/>
          <w:kern w:val="0"/>
          <w:sz w:val="24"/>
          <w:lang w:val="en-US" w:eastAsia="zh-CN"/>
        </w:rPr>
        <w:t xml:space="preserve">  </w:t>
      </w:r>
      <w:r>
        <w:rPr>
          <w:rFonts w:hint="eastAsia" w:ascii="宋体" w:hAnsi="宋体"/>
          <w:b w:val="0"/>
          <w:bCs/>
          <w:color w:val="000000"/>
          <w:sz w:val="24"/>
        </w:rPr>
        <w:t>拍卖</w:t>
      </w:r>
      <w:r>
        <w:rPr>
          <w:rFonts w:hint="eastAsia" w:ascii="宋体" w:hAnsi="宋体" w:cs="宋体"/>
          <w:b w:val="0"/>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68D12011">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》，造成的损失由买受人赔偿。</w:t>
      </w:r>
    </w:p>
    <w:p w14:paraId="631BF8A6">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5E62B5DB">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24C45045">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388D9059">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3CD34B65">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2AE25004">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bookmarkStart w:id="0" w:name="车棚"/>
      <w:bookmarkEnd w:id="0"/>
      <w:r>
        <w:rPr>
          <w:rFonts w:hint="eastAsia" w:ascii="宋体" w:hAnsi="宋体" w:cs="宋体"/>
          <w:color w:val="000000"/>
          <w:kern w:val="0"/>
          <w:sz w:val="24"/>
          <w:lang w:val="en-US" w:eastAsia="zh-CN"/>
        </w:rPr>
        <w:t>8月12日</w:t>
      </w:r>
    </w:p>
    <w:p w14:paraId="3B32BA6B"/>
    <w:p w14:paraId="1FB1D4B1">
      <w:pPr>
        <w:pStyle w:val="4"/>
      </w:pPr>
    </w:p>
    <w:p w14:paraId="4C918DDD"/>
    <w:p w14:paraId="6C9ABA0A">
      <w:pPr>
        <w:pStyle w:val="4"/>
      </w:pPr>
    </w:p>
    <w:p w14:paraId="3D0D1662">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left"/>
        <w:textAlignment w:val="auto"/>
        <w:rPr>
          <w:rFonts w:hint="eastAsia" w:ascii="宋体" w:hAnsi="宋体" w:eastAsia="宋体" w:cs="宋体"/>
          <w:color w:val="000000"/>
          <w:kern w:val="0"/>
          <w:sz w:val="24"/>
          <w:lang w:val="en-US" w:eastAsia="zh-CN"/>
        </w:rPr>
      </w:pPr>
    </w:p>
    <w:p w14:paraId="0DB498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lang w:eastAsia="zh-CN"/>
        </w:rPr>
      </w:pPr>
      <w:r>
        <w:rPr>
          <w:rFonts w:hint="eastAsia" w:ascii="宋体" w:hAnsi="宋体" w:eastAsia="宋体" w:cs="宋体"/>
          <w:color w:val="000000"/>
          <w:kern w:val="0"/>
          <w:sz w:val="24"/>
          <w:lang w:val="en-US" w:eastAsia="zh-CN"/>
        </w:rPr>
        <w:t>附件：1、</w:t>
      </w:r>
      <w:r>
        <w:rPr>
          <w:rFonts w:hint="eastAsia" w:ascii="宋体" w:hAnsi="宋体" w:cs="宋体"/>
          <w:color w:val="000000"/>
          <w:kern w:val="0"/>
          <w:sz w:val="24"/>
          <w:lang w:eastAsia="zh-CN"/>
        </w:rPr>
        <w:t>《土石料买卖合同（样本）》</w:t>
      </w:r>
    </w:p>
    <w:p w14:paraId="658AD9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r>
        <w:rPr>
          <w:rFonts w:hint="eastAsia" w:ascii="宋体" w:hAnsi="宋体" w:eastAsia="宋体" w:cs="宋体"/>
          <w:color w:val="000000"/>
          <w:kern w:val="0"/>
          <w:sz w:val="24"/>
          <w:lang w:val="en-US" w:eastAsia="zh-CN"/>
        </w:rPr>
        <w:t>《项目情况简介》</w:t>
      </w:r>
    </w:p>
    <w:p w14:paraId="16675BEE">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12"/>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12"/>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余姚市城市建设投资发展有限公司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12"/>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12"/>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12"/>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16AC062A">
      <w:pPr>
        <w:pStyle w:val="12"/>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余姚市黄山未来社区（黄山西路北侧、开丰路两侧）地块工程多余土石料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。土石料估算总量：154496立方米（约301880吨），其中残坡积土55826立方米（约105511吨），全风化角砾岩97067立方米（约193163吨），强风化角砾岩1603立方米（约3206吨）。项目具体情况详见附件。</w:t>
      </w:r>
    </w:p>
    <w:p w14:paraId="1CFC175A">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拍卖成交价（即转让价格）均为裸价，不包含任何税、费及买受佣金。在提取过程中所产生的装卸费、场地堆放费、搬运费、运输费、生产管理成本、机械设备费、保险费等一切费用全部由乙方承担。此外，起拍成交价（即转让价格）也不包含乙方后续运输、加工、经营、销售土石料等过程所产生的各项税费（按现行相关规定缴纳）。</w:t>
      </w:r>
    </w:p>
    <w:p w14:paraId="6779B939">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标的物的数量、重量、品质均为设计估算</w:t>
      </w:r>
      <w:r>
        <w:rPr>
          <w:rFonts w:hint="eastAsia" w:ascii="仿宋" w:hAnsi="仿宋" w:eastAsia="仿宋" w:cs="仿宋"/>
          <w:color w:val="000000" w:themeColor="text1"/>
          <w:sz w:val="30"/>
          <w:szCs w:val="30"/>
          <w:lang w:val="en-US" w:eastAsia="zh-CN"/>
          <w14:textFill>
            <w14:solidFill>
              <w14:schemeClr w14:val="tx1"/>
            </w14:solidFill>
          </w14:textFill>
        </w:rPr>
        <w:t>，根据《余姚市黄山未来社区（黄山西路北侧、开丰路两侧）地块开挖土石方量估算报告》编制，具有不确定性，乙方在拍卖前已认真仔细了解标的物的实际情况，清楚可能存在的各项风险。标的物的</w:t>
      </w:r>
      <w:r>
        <w:rPr>
          <w:rFonts w:hint="eastAsia" w:ascii="仿宋" w:hAnsi="仿宋" w:eastAsia="仿宋" w:cs="仿宋"/>
          <w:color w:val="000000" w:themeColor="text1"/>
          <w:sz w:val="30"/>
          <w:szCs w:val="30"/>
          <w14:textFill>
            <w14:solidFill>
              <w14:schemeClr w14:val="tx1"/>
            </w14:solidFill>
          </w14:textFill>
        </w:rPr>
        <w:t>数量、重量、品质按实际交付为准（交付时不再过磅），如实际交付有差距，则不进行拍卖成交款及买受佣金的退补，相应风险由</w:t>
      </w:r>
      <w:r>
        <w:rPr>
          <w:rFonts w:hint="eastAsia" w:ascii="仿宋" w:hAnsi="仿宋" w:eastAsia="仿宋" w:cs="仿宋"/>
          <w:color w:val="000000" w:themeColor="text1"/>
          <w:sz w:val="30"/>
          <w:szCs w:val="30"/>
          <w:lang w:eastAsia="zh-CN"/>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自行承担。</w:t>
      </w:r>
    </w:p>
    <w:p w14:paraId="3248251E">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四）土石料竞买和销售投资属于风险投资，标的物根据工程实际进度进行提取，提取周期较长，土石料市场价格可能会受市场环境和政策等因素的影响而上下波动，存在不可预见的自然因素变化和政策法规调整的风险，乙方已提前考察与现场踏勘，并详细了解当地市场行情，充分考虑上述因素可能造成的投资风险，并自愿承担由此造成的投资风险。</w:t>
      </w:r>
    </w:p>
    <w:p w14:paraId="6EB152CC">
      <w:pPr>
        <w:pStyle w:val="12"/>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lang w:val="en-US" w:eastAsia="zh-CN"/>
          <w14:textFill>
            <w14:solidFill>
              <w14:schemeClr w14:val="tx1"/>
            </w14:solidFill>
          </w14:textFill>
        </w:rPr>
        <w:t>交付期限：拍卖成交后180日历天，具体以工程实际开挖进度为准。</w:t>
      </w:r>
    </w:p>
    <w:p w14:paraId="0CA7657A">
      <w:pPr>
        <w:pStyle w:val="1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12"/>
        <w:keepNext w:val="0"/>
        <w:keepLines w:val="0"/>
        <w:pageBreakBefore w:val="0"/>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b/>
          <w:bCs/>
          <w:color w:val="000000" w:themeColor="text1"/>
          <w:sz w:val="30"/>
          <w:szCs w:val="30"/>
          <w:lang w:val="en-US" w:eastAsia="zh-CN"/>
          <w14:textFill>
            <w14:solidFill>
              <w14:schemeClr w14:val="tx1"/>
            </w14:solidFill>
          </w14:textFill>
        </w:rPr>
        <w:t>【按转让价格的30%收取（四舍五入，整取到千位）】。</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银行同期活期存款利率计息）。</w:t>
      </w:r>
    </w:p>
    <w:p w14:paraId="59550882">
      <w:pPr>
        <w:pStyle w:val="12"/>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根据施工进度取料，每次须在接到施工单位开挖通知后48小时内完成土石料的清运，逾期视为自动放弃，甲方有权按废弃物予以处理，相关处置费用由乙方承担（从履约保证金中扣除）。上述情况超过3次，甲方有权提前终止合同，且履约保证金不予退还。施工单位在临时堆场将标的物分批交付于乙方，进入临时堆场后的土石料由乙方自行看管，甲方不承担看管义务，如发生盗窃、丢失等问题，相应风险由乙方自行承担，与甲方无关。标的物接收周期同施工周期，乙方须确保及时提取标的物，以免影响项目施工进度。然而，甲方不对提取标的物的具体时间、单次数量及总次数作出保证，乙方应对此有充分认知，并承诺不因此向甲方提出异议或要求赔偿。</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52" w:firstLineChars="15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479A7E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乙方竞得标的物后，不得另行转包或违法分包，如发现此类情况，甲方有权收回标的物，对乙方作违约处理，所缴纳的履约保证金不予退还，扣除履约保证金仍不足以弥补对甲方造成的损失，乙方还需赔偿甲方的相应损失。由此产生的经济损失及法律风险均由乙方自行承担。</w:t>
      </w:r>
    </w:p>
    <w:p w14:paraId="7E43B1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（二）乙方须遵守相关法律法规，并依据环卫、环保、路政、 交警等部门规定，自行办理清运相关手续并承担费用，使用报备车辆，按指定线路进行运输。乙方在清运期间不得影响周边居民、企业的正常生活及生产，确保道路通畅，并应针对扬尘、交通事故、道路破损、噪声、震动导致房屋开裂等问题采取相应措施。若因乙方行为导致影响、危害人身安全或财产损失等后果，相应的责任和费用由乙方自行承担，与甲方无涉。</w:t>
      </w:r>
    </w:p>
    <w:p w14:paraId="261881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三）工程多余土石料按照已有的施工规范及批准施工方案进行开挖。土石料在开挖、爆破、装卸、运输、堆砌、筛选等环节中可能混杂并降低品质，相关风险由乙方自负，且乙方无权拒收标的物、向甲方索赔或提出新的开采建议。</w:t>
      </w:r>
    </w:p>
    <w:p w14:paraId="46E227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四）乙方在履约期间，须无条件自行承担各类费用及安全环保责任（包括但不限于装卸、运输、安全事故、各类纠纷、税费等）。乙方须设置冲洗设备和设置，保持环境清洁，不污染路面，如有环境污染问题，移交环保部门和交通综合执法部门处理，相应的责任和费用全部由乙方承担,甲方有权从履约保证金中予以扣除。</w:t>
      </w:r>
    </w:p>
    <w:p w14:paraId="5B093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五）乙方使用的作业机械及运输车辆须事先向甲方进行备案，并获得甲方的审批同意，否则不得进行标的物提取。临时堆场内，乙方的作业机械、提货车辆及操作人员均须服从施工单位与监理单位的统一管理。乙方的车辆和作业机械应在甲方指定的位置装卸土石料，并遵守施工单位管理人员的现场指挥。乙方严禁进入项目施工区域，不得干扰余姚市黄山未来社区（黄山西路北侧、开丰路两侧）地块工程的施工活动，且不得占用施工通道。</w:t>
      </w:r>
    </w:p>
    <w:p w14:paraId="4808A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六）乙方必须按规定线路运输，运输方案须经交警、路政等部门同意后方可实施。提货期间，乙方需配备工作人员做好交通指挥和车辆调度等工作，相关工作人员费用由乙方自理。因乙方原因导致交通拥堵的，相应的责任和费用均由乙方承担，与甲方无涉。</w:t>
      </w:r>
    </w:p>
    <w:p w14:paraId="621FD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七）为确保土石方提取运输过程安全有序，乙方应当向属地保险机构购买该过程的安全生产责任险，从业人员的施工人员意外险和工伤保险，运输车辆的交强险、第三者责任保险（不低于200万），作业设备的机械设备险。如发生安全事故，所造成的一切损失由乙方自行承担，与甲方无涉。若发生重大安全事故或人员伤亡，乙方应立即采取必要措施抢救伤员，防止事态扩大，减少损失，并即刻通知甲方及相关部门，相关费用由乙方承担。</w:t>
      </w:r>
    </w:p>
    <w:p w14:paraId="50BC42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八）因提取运输导致道路、周边房屋、管线等损坏的，乙方应立即做好临时安全措施，且及时做好修复工作，因修复、赔偿产生的一切费用由乙方承担。若乙方未及时修复或赔付，甲方有权代为进行，相关费用将从乙方的履约保证金中直接扣除。待提取完毕后30日内，乙方需对运输线路上的道路进行全面维修，确保其恢复至原状，所有修复费用均由乙方承担。经甲方验收合格后，方可退还保证金。</w:t>
      </w:r>
    </w:p>
    <w:p w14:paraId="520DF3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九）在履约期间，若乙方被第三方投诉或诉讼，乙方须自行妥善处理；若因此产生不良影响及负面社会舆论，将视乙方为违约，甲方有权解除合同，所缴纳的履约保证金概不退还。扣除履约保证金仍不足以弥补对甲方造成的损失，乙方还需赔偿甲方的相应损失。由此产生的经济损失及法律风险均由乙方自行承担。</w:t>
      </w:r>
    </w:p>
    <w:p w14:paraId="1C04B2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十）如在工程实际需求或不可抗力因素启动设计变更时，对原调查与设计方案进行规范调整，导致标的物数量发生变化的，甲方将对拍卖成交款进行多退少补处理[即具体金额按公式“拍卖成交款÷土石料估算量×（土石料估算量－项目变更后土石料估算量）”结算]。乙方需无条件接受此调整，并在收到甲方书面通知后30日内完成补足或退还。</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4"/>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4"/>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4"/>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2、乙方根据本合同第三条、第四条的约定享有相应权利并履行相关义务。</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按本合同第四条第（十）款执行。</w:t>
      </w:r>
    </w:p>
    <w:p w14:paraId="157BC71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2E0A38A">
      <w:pPr>
        <w:pStyle w:val="4"/>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6E1C2BCA">
      <w:pPr>
        <w:pStyle w:val="4"/>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03128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联系电话：                    联系电话：</w:t>
      </w:r>
    </w:p>
    <w:p w14:paraId="6CA6E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w:t>
      </w:r>
    </w:p>
    <w:p w14:paraId="4C0BFB46">
      <w:pPr>
        <w:pStyle w:val="4"/>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96D6EA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67B39E45">
      <w:pPr>
        <w:pStyle w:val="4"/>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5BAA7A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2776528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4F62F8BB">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6C525E1C">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3ED52B52">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4FEAFA7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237B5D8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附件：《项目情况简介》</w:t>
      </w:r>
    </w:p>
    <w:p w14:paraId="4B7C666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项目情况简介</w:t>
      </w:r>
    </w:p>
    <w:p w14:paraId="7289A59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一、工程概况</w:t>
      </w:r>
    </w:p>
    <w:p w14:paraId="73F0E49A">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余姚市黄山未来社区（黄山西路北侧、开丰路两侧）地块选址于兰江街道黄山单元区块，具体范围为东至规划黄山公园，南至黄山西路，西至郑家江河道，北至谭家岭西路。总用地面积138973平方米，折合208.45亩（具体面积以实测为准），本项目根据《余姚黄山未来社区（黄山西路北侧、开丰路两侧）地块国有建设用地使用权出让规划条件》要求具体划分为三块地块，其中：地块一用地面积为47216平方米，折合70.82亩；地块二用地面积为22962平方米，折合34.44亩；地块三用地面积为68795平方米，折合103.19亩。用地性质为二类住宅用地。</w:t>
      </w:r>
    </w:p>
    <w:p w14:paraId="1ED3CCCD">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余姚黄山未来社区地块位于余姚黄山儿童公园周边，具体位置位于余姚技师学校以东，余姚市实验学校以西，余姚佛教居士林以南，余姚市黄山西路以北。地块西侧有三溪口溪流流过，地块四周临近道路及厂房，第二地块场地内有部分自然山体，整个山体以茶园为主，土丘部分地势较平缓，最大高度约为15m，场地总体地势平缓，周边道路情况为：场地西边为开丰路、北边为谭家岭西路、东边为新庄路、南边为黄山西路，其中，场地一500m范围内有余姚佛教居士林文殊殿，场地二东边500m范围内有余姚市瑞龙茶厂。</w:t>
      </w:r>
    </w:p>
    <w:p w14:paraId="04024EAC">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治理区位置及范围</w:t>
      </w:r>
    </w:p>
    <w:p w14:paraId="63CF5A76">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项目位置：该边坡位于余姚市黄山西路北侧、开丰路两侧，具体位置余姚市瑞龙茶厂附近。中心地理坐标位于：东经121°8′10.6957″，北纬30°1′15.7142″。交通较便利（见图2-1），用地红线拐点坐标见表2-1,2-2。</w:t>
      </w:r>
    </w:p>
    <w:p w14:paraId="695D9A9C">
      <w:pPr>
        <w:keepNext w:val="0"/>
        <w:keepLines w:val="0"/>
        <w:pageBreakBefore w:val="0"/>
        <w:widowControl w:val="0"/>
        <w:kinsoku/>
        <w:wordWrap/>
        <w:overflowPunct/>
        <w:topLinePunct w:val="0"/>
        <w:autoSpaceDE/>
        <w:autoSpaceDN/>
        <w:bidi w:val="0"/>
        <w:adjustRightInd/>
        <w:snapToGrid/>
        <w:spacing w:before="157" w:beforeLines="50" w:after="157" w:afterLines="50" w:line="212" w:lineRule="auto"/>
        <w:ind w:left="1332"/>
        <w:textAlignment w:val="auto"/>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2-1</w:t>
      </w:r>
      <w:r>
        <w:rPr>
          <w:rFonts w:ascii="仿宋" w:hAnsi="仿宋" w:eastAsia="仿宋" w:cs="仿宋"/>
          <w:spacing w:val="-42"/>
          <w:sz w:val="24"/>
          <w:szCs w:val="24"/>
        </w:rPr>
        <w:t xml:space="preserve"> </w:t>
      </w:r>
      <w:r>
        <w:rPr>
          <w:rFonts w:ascii="仿宋" w:hAnsi="仿宋" w:eastAsia="仿宋" w:cs="仿宋"/>
          <w:b/>
          <w:bCs/>
          <w:spacing w:val="-5"/>
          <w:sz w:val="24"/>
          <w:szCs w:val="24"/>
        </w:rPr>
        <w:t>地块一用地红线拐点坐标一览表（宁波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3"/>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0C2A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restart"/>
            <w:noWrap w:val="0"/>
            <w:vAlign w:val="center"/>
          </w:tcPr>
          <w:p w14:paraId="44DDD03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r>
              <w:rPr>
                <w:rFonts w:ascii="仿宋" w:hAnsi="仿宋" w:eastAsia="仿宋" w:cs="仿宋"/>
                <w:sz w:val="24"/>
                <w:szCs w:val="24"/>
              </w:rPr>
              <w:t>地</w:t>
            </w:r>
            <w:r>
              <w:rPr>
                <w:rFonts w:ascii="仿宋" w:hAnsi="仿宋" w:eastAsia="仿宋" w:cs="仿宋"/>
                <w:spacing w:val="-51"/>
                <w:sz w:val="24"/>
                <w:szCs w:val="24"/>
              </w:rPr>
              <w:t xml:space="preserve"> </w:t>
            </w:r>
            <w:r>
              <w:rPr>
                <w:rFonts w:ascii="仿宋" w:hAnsi="仿宋" w:eastAsia="仿宋" w:cs="仿宋"/>
                <w:sz w:val="24"/>
                <w:szCs w:val="24"/>
              </w:rPr>
              <w:t>块一</w:t>
            </w:r>
          </w:p>
        </w:tc>
        <w:tc>
          <w:tcPr>
            <w:tcW w:w="2061" w:type="dxa"/>
            <w:noWrap w:val="0"/>
            <w:vAlign w:val="center"/>
          </w:tcPr>
          <w:p w14:paraId="365C292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center"/>
          </w:tcPr>
          <w:p w14:paraId="0C4CFC2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center"/>
          </w:tcPr>
          <w:p w14:paraId="466AC11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Y</w:t>
            </w:r>
          </w:p>
        </w:tc>
      </w:tr>
      <w:tr w14:paraId="0F6A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8EDB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706C15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J1</w:t>
            </w:r>
          </w:p>
        </w:tc>
        <w:tc>
          <w:tcPr>
            <w:tcW w:w="2833" w:type="dxa"/>
            <w:noWrap w:val="0"/>
            <w:vAlign w:val="center"/>
          </w:tcPr>
          <w:p w14:paraId="681589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122798.279</w:t>
            </w:r>
          </w:p>
        </w:tc>
        <w:tc>
          <w:tcPr>
            <w:tcW w:w="3176" w:type="dxa"/>
            <w:noWrap w:val="0"/>
            <w:vAlign w:val="center"/>
          </w:tcPr>
          <w:p w14:paraId="0A8217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264450.812</w:t>
            </w:r>
          </w:p>
        </w:tc>
      </w:tr>
      <w:tr w14:paraId="08B0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6D7C191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2B4A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J2</w:t>
            </w:r>
          </w:p>
        </w:tc>
        <w:tc>
          <w:tcPr>
            <w:tcW w:w="2833" w:type="dxa"/>
            <w:noWrap w:val="0"/>
            <w:vAlign w:val="center"/>
          </w:tcPr>
          <w:p w14:paraId="33CDEB1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122818.255</w:t>
            </w:r>
          </w:p>
        </w:tc>
        <w:tc>
          <w:tcPr>
            <w:tcW w:w="3176" w:type="dxa"/>
            <w:noWrap w:val="0"/>
            <w:vAlign w:val="center"/>
          </w:tcPr>
          <w:p w14:paraId="4EA1D9A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264522.655</w:t>
            </w:r>
          </w:p>
        </w:tc>
      </w:tr>
      <w:tr w14:paraId="11111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422D83F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778467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J3</w:t>
            </w:r>
          </w:p>
        </w:tc>
        <w:tc>
          <w:tcPr>
            <w:tcW w:w="2833" w:type="dxa"/>
            <w:noWrap w:val="0"/>
            <w:vAlign w:val="center"/>
          </w:tcPr>
          <w:p w14:paraId="1C7F84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122831.684</w:t>
            </w:r>
          </w:p>
        </w:tc>
        <w:tc>
          <w:tcPr>
            <w:tcW w:w="3176" w:type="dxa"/>
            <w:noWrap w:val="0"/>
            <w:vAlign w:val="center"/>
          </w:tcPr>
          <w:p w14:paraId="5719A3B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264616.858</w:t>
            </w:r>
          </w:p>
        </w:tc>
      </w:tr>
      <w:tr w14:paraId="4D3D0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AFAA6">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204382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J4</w:t>
            </w:r>
          </w:p>
        </w:tc>
        <w:tc>
          <w:tcPr>
            <w:tcW w:w="2833" w:type="dxa"/>
            <w:noWrap w:val="0"/>
            <w:vAlign w:val="center"/>
          </w:tcPr>
          <w:p w14:paraId="70EF278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122859.979</w:t>
            </w:r>
          </w:p>
        </w:tc>
        <w:tc>
          <w:tcPr>
            <w:tcW w:w="3176" w:type="dxa"/>
            <w:noWrap w:val="0"/>
            <w:vAlign w:val="center"/>
          </w:tcPr>
          <w:p w14:paraId="3D80357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264681.432</w:t>
            </w:r>
          </w:p>
        </w:tc>
      </w:tr>
      <w:tr w14:paraId="0689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1217BC7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CCA39A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J5</w:t>
            </w:r>
          </w:p>
        </w:tc>
        <w:tc>
          <w:tcPr>
            <w:tcW w:w="2833" w:type="dxa"/>
            <w:noWrap w:val="0"/>
            <w:vAlign w:val="center"/>
          </w:tcPr>
          <w:p w14:paraId="5AA761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122916.534</w:t>
            </w:r>
          </w:p>
        </w:tc>
        <w:tc>
          <w:tcPr>
            <w:tcW w:w="3176" w:type="dxa"/>
            <w:noWrap w:val="0"/>
            <w:vAlign w:val="center"/>
          </w:tcPr>
          <w:p w14:paraId="6C47C29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264750.748</w:t>
            </w:r>
          </w:p>
        </w:tc>
      </w:tr>
      <w:tr w14:paraId="3E0E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50118D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ACBBB9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J6</w:t>
            </w:r>
          </w:p>
        </w:tc>
        <w:tc>
          <w:tcPr>
            <w:tcW w:w="2833" w:type="dxa"/>
            <w:noWrap w:val="0"/>
            <w:vAlign w:val="center"/>
          </w:tcPr>
          <w:p w14:paraId="4A278EF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122909.982</w:t>
            </w:r>
          </w:p>
        </w:tc>
        <w:tc>
          <w:tcPr>
            <w:tcW w:w="3176" w:type="dxa"/>
            <w:noWrap w:val="0"/>
            <w:vAlign w:val="center"/>
          </w:tcPr>
          <w:p w14:paraId="4F2FBA5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264753.258</w:t>
            </w:r>
          </w:p>
        </w:tc>
      </w:tr>
      <w:tr w14:paraId="7C383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0C1006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61992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J7</w:t>
            </w:r>
          </w:p>
        </w:tc>
        <w:tc>
          <w:tcPr>
            <w:tcW w:w="2833" w:type="dxa"/>
            <w:noWrap w:val="0"/>
            <w:vAlign w:val="center"/>
          </w:tcPr>
          <w:p w14:paraId="1B51ADE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122913.732</w:t>
            </w:r>
          </w:p>
        </w:tc>
        <w:tc>
          <w:tcPr>
            <w:tcW w:w="3176" w:type="dxa"/>
            <w:noWrap w:val="0"/>
            <w:vAlign w:val="center"/>
          </w:tcPr>
          <w:p w14:paraId="5C27423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264765.755</w:t>
            </w:r>
          </w:p>
        </w:tc>
      </w:tr>
      <w:tr w14:paraId="00A4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3894E473">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65934F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J8</w:t>
            </w:r>
          </w:p>
        </w:tc>
        <w:tc>
          <w:tcPr>
            <w:tcW w:w="2833" w:type="dxa"/>
            <w:noWrap w:val="0"/>
            <w:vAlign w:val="center"/>
          </w:tcPr>
          <w:p w14:paraId="206787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122871.689</w:t>
            </w:r>
          </w:p>
        </w:tc>
        <w:tc>
          <w:tcPr>
            <w:tcW w:w="3176" w:type="dxa"/>
            <w:noWrap w:val="0"/>
            <w:vAlign w:val="center"/>
          </w:tcPr>
          <w:p w14:paraId="0EE08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264791.734</w:t>
            </w:r>
          </w:p>
        </w:tc>
      </w:tr>
      <w:tr w14:paraId="436F1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7BAC97E">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p>
        </w:tc>
        <w:tc>
          <w:tcPr>
            <w:tcW w:w="2061" w:type="dxa"/>
            <w:noWrap w:val="0"/>
            <w:vAlign w:val="center"/>
          </w:tcPr>
          <w:p w14:paraId="388230A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J9</w:t>
            </w:r>
          </w:p>
        </w:tc>
        <w:tc>
          <w:tcPr>
            <w:tcW w:w="2833" w:type="dxa"/>
            <w:noWrap w:val="0"/>
            <w:vAlign w:val="center"/>
          </w:tcPr>
          <w:p w14:paraId="70649FE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122838.675</w:t>
            </w:r>
          </w:p>
        </w:tc>
        <w:tc>
          <w:tcPr>
            <w:tcW w:w="3176" w:type="dxa"/>
            <w:noWrap w:val="0"/>
            <w:vAlign w:val="center"/>
          </w:tcPr>
          <w:p w14:paraId="490FFDD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264797.936</w:t>
            </w:r>
          </w:p>
        </w:tc>
      </w:tr>
      <w:tr w14:paraId="0F4F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8D1E8D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3A93E5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J10</w:t>
            </w:r>
          </w:p>
        </w:tc>
        <w:tc>
          <w:tcPr>
            <w:tcW w:w="2833" w:type="dxa"/>
            <w:noWrap w:val="0"/>
            <w:vAlign w:val="center"/>
          </w:tcPr>
          <w:p w14:paraId="0E68A98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122834.866</w:t>
            </w:r>
          </w:p>
        </w:tc>
        <w:tc>
          <w:tcPr>
            <w:tcW w:w="3176" w:type="dxa"/>
            <w:noWrap w:val="0"/>
            <w:vAlign w:val="center"/>
          </w:tcPr>
          <w:p w14:paraId="4DABE4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264784.329</w:t>
            </w:r>
          </w:p>
        </w:tc>
      </w:tr>
      <w:tr w14:paraId="7812B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2BE8B0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9CCF87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J11</w:t>
            </w:r>
          </w:p>
        </w:tc>
        <w:tc>
          <w:tcPr>
            <w:tcW w:w="2833" w:type="dxa"/>
            <w:noWrap w:val="0"/>
            <w:vAlign w:val="center"/>
          </w:tcPr>
          <w:p w14:paraId="063A2A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122814.702</w:t>
            </w:r>
          </w:p>
        </w:tc>
        <w:tc>
          <w:tcPr>
            <w:tcW w:w="3176" w:type="dxa"/>
            <w:noWrap w:val="0"/>
            <w:vAlign w:val="center"/>
          </w:tcPr>
          <w:p w14:paraId="3F94FB5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264775.056</w:t>
            </w:r>
          </w:p>
        </w:tc>
      </w:tr>
      <w:tr w14:paraId="6C909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2C15CE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0A0E34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J12</w:t>
            </w:r>
          </w:p>
        </w:tc>
        <w:tc>
          <w:tcPr>
            <w:tcW w:w="2833" w:type="dxa"/>
            <w:noWrap w:val="0"/>
            <w:vAlign w:val="center"/>
          </w:tcPr>
          <w:p w14:paraId="7117211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122806.105</w:t>
            </w:r>
          </w:p>
        </w:tc>
        <w:tc>
          <w:tcPr>
            <w:tcW w:w="3176" w:type="dxa"/>
            <w:noWrap w:val="0"/>
            <w:vAlign w:val="center"/>
          </w:tcPr>
          <w:p w14:paraId="67376B9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264779.012</w:t>
            </w:r>
          </w:p>
        </w:tc>
      </w:tr>
      <w:tr w14:paraId="1D90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5913E9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56D10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J13</w:t>
            </w:r>
          </w:p>
        </w:tc>
        <w:tc>
          <w:tcPr>
            <w:tcW w:w="2833" w:type="dxa"/>
            <w:noWrap w:val="0"/>
            <w:vAlign w:val="center"/>
          </w:tcPr>
          <w:p w14:paraId="19A493A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122789.075</w:t>
            </w:r>
          </w:p>
        </w:tc>
        <w:tc>
          <w:tcPr>
            <w:tcW w:w="3176" w:type="dxa"/>
            <w:noWrap w:val="0"/>
            <w:vAlign w:val="center"/>
          </w:tcPr>
          <w:p w14:paraId="2350CBA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264826.043</w:t>
            </w:r>
          </w:p>
        </w:tc>
      </w:tr>
      <w:tr w14:paraId="6265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4CCE5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482203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J14</w:t>
            </w:r>
          </w:p>
        </w:tc>
        <w:tc>
          <w:tcPr>
            <w:tcW w:w="2833" w:type="dxa"/>
            <w:noWrap w:val="0"/>
            <w:vAlign w:val="center"/>
          </w:tcPr>
          <w:p w14:paraId="587CA3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122775.920</w:t>
            </w:r>
          </w:p>
        </w:tc>
        <w:tc>
          <w:tcPr>
            <w:tcW w:w="3176" w:type="dxa"/>
            <w:noWrap w:val="0"/>
            <w:vAlign w:val="center"/>
          </w:tcPr>
          <w:p w14:paraId="49E6F96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264843.990</w:t>
            </w:r>
          </w:p>
        </w:tc>
      </w:tr>
      <w:tr w14:paraId="7D9D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CB41D1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03C23E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J15</w:t>
            </w:r>
          </w:p>
        </w:tc>
        <w:tc>
          <w:tcPr>
            <w:tcW w:w="2833" w:type="dxa"/>
            <w:noWrap w:val="0"/>
            <w:vAlign w:val="center"/>
          </w:tcPr>
          <w:p w14:paraId="5884C64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122756.285</w:t>
            </w:r>
          </w:p>
        </w:tc>
        <w:tc>
          <w:tcPr>
            <w:tcW w:w="3176" w:type="dxa"/>
            <w:noWrap w:val="0"/>
            <w:vAlign w:val="center"/>
          </w:tcPr>
          <w:p w14:paraId="2C0721B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264828.793</w:t>
            </w:r>
          </w:p>
        </w:tc>
      </w:tr>
      <w:tr w14:paraId="6305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FB497D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352C8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J16</w:t>
            </w:r>
          </w:p>
        </w:tc>
        <w:tc>
          <w:tcPr>
            <w:tcW w:w="2833" w:type="dxa"/>
            <w:noWrap w:val="0"/>
            <w:vAlign w:val="center"/>
          </w:tcPr>
          <w:p w14:paraId="32B781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122756.744</w:t>
            </w:r>
          </w:p>
        </w:tc>
        <w:tc>
          <w:tcPr>
            <w:tcW w:w="3176" w:type="dxa"/>
            <w:noWrap w:val="0"/>
            <w:vAlign w:val="center"/>
          </w:tcPr>
          <w:p w14:paraId="68A96AF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264813.624</w:t>
            </w:r>
          </w:p>
        </w:tc>
      </w:tr>
      <w:tr w14:paraId="470A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34C616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47D162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J17</w:t>
            </w:r>
          </w:p>
        </w:tc>
        <w:tc>
          <w:tcPr>
            <w:tcW w:w="2833" w:type="dxa"/>
            <w:noWrap w:val="0"/>
            <w:vAlign w:val="center"/>
          </w:tcPr>
          <w:p w14:paraId="54D59E9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122753.986</w:t>
            </w:r>
          </w:p>
        </w:tc>
        <w:tc>
          <w:tcPr>
            <w:tcW w:w="3176" w:type="dxa"/>
            <w:noWrap w:val="0"/>
            <w:vAlign w:val="center"/>
          </w:tcPr>
          <w:p w14:paraId="152E57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264780.276</w:t>
            </w:r>
          </w:p>
        </w:tc>
      </w:tr>
      <w:tr w14:paraId="23BF9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962008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5056B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J18</w:t>
            </w:r>
          </w:p>
        </w:tc>
        <w:tc>
          <w:tcPr>
            <w:tcW w:w="2833" w:type="dxa"/>
            <w:noWrap w:val="0"/>
            <w:vAlign w:val="center"/>
          </w:tcPr>
          <w:p w14:paraId="20C690F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122738.408</w:t>
            </w:r>
          </w:p>
        </w:tc>
        <w:tc>
          <w:tcPr>
            <w:tcW w:w="3176" w:type="dxa"/>
            <w:noWrap w:val="0"/>
            <w:vAlign w:val="center"/>
          </w:tcPr>
          <w:p w14:paraId="3D5887F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264759.964</w:t>
            </w:r>
          </w:p>
        </w:tc>
      </w:tr>
      <w:tr w14:paraId="785B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0BA7B1B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97F689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J19</w:t>
            </w:r>
          </w:p>
        </w:tc>
        <w:tc>
          <w:tcPr>
            <w:tcW w:w="2833" w:type="dxa"/>
            <w:noWrap w:val="0"/>
            <w:vAlign w:val="center"/>
          </w:tcPr>
          <w:p w14:paraId="39B29A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122715.968</w:t>
            </w:r>
          </w:p>
        </w:tc>
        <w:tc>
          <w:tcPr>
            <w:tcW w:w="3176" w:type="dxa"/>
            <w:noWrap w:val="0"/>
            <w:vAlign w:val="center"/>
          </w:tcPr>
          <w:p w14:paraId="07DC000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264751.020</w:t>
            </w:r>
          </w:p>
        </w:tc>
      </w:tr>
      <w:tr w14:paraId="26D3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3" w:type="dxa"/>
            <w:vMerge w:val="continue"/>
            <w:noWrap w:val="0"/>
            <w:textDirection w:val="tbRlV"/>
            <w:vAlign w:val="center"/>
          </w:tcPr>
          <w:p w14:paraId="440D57D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30E2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J20</w:t>
            </w:r>
          </w:p>
        </w:tc>
        <w:tc>
          <w:tcPr>
            <w:tcW w:w="2833" w:type="dxa"/>
            <w:noWrap w:val="0"/>
            <w:vAlign w:val="center"/>
          </w:tcPr>
          <w:p w14:paraId="1BF1ADA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122709.592</w:t>
            </w:r>
          </w:p>
        </w:tc>
        <w:tc>
          <w:tcPr>
            <w:tcW w:w="3176" w:type="dxa"/>
            <w:noWrap w:val="0"/>
            <w:vAlign w:val="center"/>
          </w:tcPr>
          <w:p w14:paraId="2C041D5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264724.874</w:t>
            </w:r>
          </w:p>
        </w:tc>
      </w:tr>
      <w:tr w14:paraId="4CD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DDD11A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72835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J21</w:t>
            </w:r>
          </w:p>
        </w:tc>
        <w:tc>
          <w:tcPr>
            <w:tcW w:w="2833" w:type="dxa"/>
            <w:noWrap w:val="0"/>
            <w:vAlign w:val="center"/>
          </w:tcPr>
          <w:p w14:paraId="0DC1981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122703.444</w:t>
            </w:r>
          </w:p>
        </w:tc>
        <w:tc>
          <w:tcPr>
            <w:tcW w:w="3176" w:type="dxa"/>
            <w:noWrap w:val="0"/>
            <w:vAlign w:val="center"/>
          </w:tcPr>
          <w:p w14:paraId="4732D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264715.628</w:t>
            </w:r>
          </w:p>
        </w:tc>
      </w:tr>
      <w:tr w14:paraId="1687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83571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3590E4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J22</w:t>
            </w:r>
          </w:p>
        </w:tc>
        <w:tc>
          <w:tcPr>
            <w:tcW w:w="2833" w:type="dxa"/>
            <w:noWrap w:val="0"/>
            <w:vAlign w:val="center"/>
          </w:tcPr>
          <w:p w14:paraId="6544DCE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122652.224</w:t>
            </w:r>
          </w:p>
        </w:tc>
        <w:tc>
          <w:tcPr>
            <w:tcW w:w="3176" w:type="dxa"/>
            <w:noWrap w:val="0"/>
            <w:vAlign w:val="center"/>
          </w:tcPr>
          <w:p w14:paraId="285A17D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264612.273</w:t>
            </w:r>
          </w:p>
        </w:tc>
      </w:tr>
      <w:tr w14:paraId="755A4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F9C9BC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08F28E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J23</w:t>
            </w:r>
          </w:p>
        </w:tc>
        <w:tc>
          <w:tcPr>
            <w:tcW w:w="2833" w:type="dxa"/>
            <w:noWrap w:val="0"/>
            <w:vAlign w:val="center"/>
          </w:tcPr>
          <w:p w14:paraId="22588B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122650.308</w:t>
            </w:r>
          </w:p>
        </w:tc>
        <w:tc>
          <w:tcPr>
            <w:tcW w:w="3176" w:type="dxa"/>
            <w:noWrap w:val="0"/>
            <w:vAlign w:val="center"/>
          </w:tcPr>
          <w:p w14:paraId="4A7F008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264609.954</w:t>
            </w:r>
          </w:p>
        </w:tc>
      </w:tr>
      <w:tr w14:paraId="336A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E227A5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6118E1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J24</w:t>
            </w:r>
          </w:p>
        </w:tc>
        <w:tc>
          <w:tcPr>
            <w:tcW w:w="2833" w:type="dxa"/>
            <w:noWrap w:val="0"/>
            <w:vAlign w:val="center"/>
          </w:tcPr>
          <w:p w14:paraId="415BDBE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122706.509</w:t>
            </w:r>
          </w:p>
        </w:tc>
        <w:tc>
          <w:tcPr>
            <w:tcW w:w="3176" w:type="dxa"/>
            <w:noWrap w:val="0"/>
            <w:vAlign w:val="center"/>
          </w:tcPr>
          <w:p w14:paraId="78D328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264557.813</w:t>
            </w:r>
          </w:p>
        </w:tc>
      </w:tr>
      <w:tr w14:paraId="6CC4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04B66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FAA14E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J25</w:t>
            </w:r>
          </w:p>
        </w:tc>
        <w:tc>
          <w:tcPr>
            <w:tcW w:w="2833" w:type="dxa"/>
            <w:noWrap w:val="0"/>
            <w:vAlign w:val="center"/>
          </w:tcPr>
          <w:p w14:paraId="78F4A15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122729.468</w:t>
            </w:r>
          </w:p>
        </w:tc>
        <w:tc>
          <w:tcPr>
            <w:tcW w:w="3176" w:type="dxa"/>
            <w:noWrap w:val="0"/>
            <w:vAlign w:val="center"/>
          </w:tcPr>
          <w:p w14:paraId="39F313C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264536.024</w:t>
            </w:r>
          </w:p>
        </w:tc>
      </w:tr>
      <w:tr w14:paraId="1574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622C67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997B8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J26</w:t>
            </w:r>
          </w:p>
        </w:tc>
        <w:tc>
          <w:tcPr>
            <w:tcW w:w="2833" w:type="dxa"/>
            <w:noWrap w:val="0"/>
            <w:vAlign w:val="center"/>
          </w:tcPr>
          <w:p w14:paraId="304B7BA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122739.881</w:t>
            </w:r>
          </w:p>
        </w:tc>
        <w:tc>
          <w:tcPr>
            <w:tcW w:w="3176" w:type="dxa"/>
            <w:noWrap w:val="0"/>
            <w:vAlign w:val="center"/>
          </w:tcPr>
          <w:p w14:paraId="5ABDFD0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264516.603</w:t>
            </w:r>
          </w:p>
        </w:tc>
      </w:tr>
      <w:tr w14:paraId="7DE1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FDA896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EBC35F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J27</w:t>
            </w:r>
          </w:p>
        </w:tc>
        <w:tc>
          <w:tcPr>
            <w:tcW w:w="2833" w:type="dxa"/>
            <w:noWrap w:val="0"/>
            <w:vAlign w:val="center"/>
          </w:tcPr>
          <w:p w14:paraId="393467C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122766.063</w:t>
            </w:r>
          </w:p>
        </w:tc>
        <w:tc>
          <w:tcPr>
            <w:tcW w:w="3176" w:type="dxa"/>
            <w:noWrap w:val="0"/>
            <w:vAlign w:val="center"/>
          </w:tcPr>
          <w:p w14:paraId="6CE48B1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264487.577</w:t>
            </w:r>
          </w:p>
        </w:tc>
      </w:tr>
      <w:tr w14:paraId="0A04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EC4888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064702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J28</w:t>
            </w:r>
          </w:p>
        </w:tc>
        <w:tc>
          <w:tcPr>
            <w:tcW w:w="2833" w:type="dxa"/>
            <w:noWrap w:val="0"/>
            <w:vAlign w:val="center"/>
          </w:tcPr>
          <w:p w14:paraId="0A0BDC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122781.936</w:t>
            </w:r>
          </w:p>
        </w:tc>
        <w:tc>
          <w:tcPr>
            <w:tcW w:w="3176" w:type="dxa"/>
            <w:noWrap w:val="0"/>
            <w:vAlign w:val="center"/>
          </w:tcPr>
          <w:p w14:paraId="2CDE6E7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264461.039</w:t>
            </w:r>
          </w:p>
        </w:tc>
      </w:tr>
    </w:tbl>
    <w:p w14:paraId="4BE2FF45">
      <w:pPr>
        <w:spacing w:before="36" w:line="212" w:lineRule="auto"/>
        <w:ind w:left="1330"/>
        <w:rPr>
          <w:rFonts w:ascii="仿宋" w:hAnsi="仿宋" w:eastAsia="仿宋" w:cs="仿宋"/>
          <w:b/>
          <w:bCs/>
          <w:spacing w:val="-5"/>
          <w:sz w:val="24"/>
          <w:szCs w:val="24"/>
        </w:rPr>
      </w:pPr>
    </w:p>
    <w:p w14:paraId="4CF9A211">
      <w:pPr>
        <w:spacing w:before="36" w:line="212" w:lineRule="auto"/>
        <w:ind w:left="1330"/>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2-2</w:t>
      </w:r>
      <w:r>
        <w:rPr>
          <w:rFonts w:ascii="仿宋" w:hAnsi="仿宋" w:eastAsia="仿宋" w:cs="仿宋"/>
          <w:spacing w:val="-42"/>
          <w:sz w:val="24"/>
          <w:szCs w:val="24"/>
        </w:rPr>
        <w:t xml:space="preserve"> </w:t>
      </w:r>
      <w:r>
        <w:rPr>
          <w:rFonts w:ascii="仿宋" w:hAnsi="仿宋" w:eastAsia="仿宋" w:cs="仿宋"/>
          <w:b/>
          <w:bCs/>
          <w:spacing w:val="-5"/>
          <w:sz w:val="24"/>
          <w:szCs w:val="24"/>
        </w:rPr>
        <w:t>地块二用地红线拐点坐标一览表（宁波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3"/>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29423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3" w:type="dxa"/>
            <w:vMerge w:val="restart"/>
            <w:noWrap w:val="0"/>
            <w:vAlign w:val="center"/>
          </w:tcPr>
          <w:p w14:paraId="3CC63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E3CF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324BEAE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地</w:t>
            </w:r>
          </w:p>
          <w:p w14:paraId="2B3D6F3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块</w:t>
            </w:r>
          </w:p>
          <w:p w14:paraId="1AEA357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二</w:t>
            </w:r>
          </w:p>
        </w:tc>
        <w:tc>
          <w:tcPr>
            <w:tcW w:w="2061" w:type="dxa"/>
            <w:noWrap w:val="0"/>
            <w:vAlign w:val="top"/>
          </w:tcPr>
          <w:p w14:paraId="1F974C2C">
            <w:pPr>
              <w:keepNext w:val="0"/>
              <w:keepLines w:val="0"/>
              <w:pageBreakBefore w:val="0"/>
              <w:widowControl w:val="0"/>
              <w:kinsoku/>
              <w:wordWrap/>
              <w:overflowPunct/>
              <w:topLinePunct w:val="0"/>
              <w:autoSpaceDE/>
              <w:autoSpaceDN/>
              <w:bidi w:val="0"/>
              <w:adjustRightInd/>
              <w:snapToGrid/>
              <w:spacing w:before="174" w:line="480" w:lineRule="exact"/>
              <w:ind w:left="200"/>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top"/>
          </w:tcPr>
          <w:p w14:paraId="284EA9E3">
            <w:pPr>
              <w:keepNext w:val="0"/>
              <w:keepLines w:val="0"/>
              <w:pageBreakBefore w:val="0"/>
              <w:widowControl w:val="0"/>
              <w:kinsoku/>
              <w:wordWrap/>
              <w:overflowPunct/>
              <w:topLinePunct w:val="0"/>
              <w:autoSpaceDE/>
              <w:autoSpaceDN/>
              <w:bidi w:val="0"/>
              <w:adjustRightInd/>
              <w:snapToGrid/>
              <w:spacing w:before="221" w:line="480" w:lineRule="exact"/>
              <w:ind w:left="1355"/>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top"/>
          </w:tcPr>
          <w:p w14:paraId="175BCA14">
            <w:pPr>
              <w:keepNext w:val="0"/>
              <w:keepLines w:val="0"/>
              <w:pageBreakBefore w:val="0"/>
              <w:widowControl w:val="0"/>
              <w:kinsoku/>
              <w:wordWrap/>
              <w:overflowPunct/>
              <w:topLinePunct w:val="0"/>
              <w:autoSpaceDE/>
              <w:autoSpaceDN/>
              <w:bidi w:val="0"/>
              <w:adjustRightInd/>
              <w:snapToGrid/>
              <w:spacing w:before="221" w:line="480" w:lineRule="exact"/>
              <w:ind w:left="1529"/>
              <w:textAlignment w:val="auto"/>
              <w:rPr>
                <w:rFonts w:ascii="仿宋" w:hAnsi="仿宋" w:eastAsia="仿宋" w:cs="仿宋"/>
                <w:sz w:val="24"/>
                <w:szCs w:val="24"/>
              </w:rPr>
            </w:pPr>
            <w:r>
              <w:rPr>
                <w:rFonts w:ascii="仿宋" w:hAnsi="仿宋" w:eastAsia="仿宋" w:cs="仿宋"/>
                <w:sz w:val="24"/>
                <w:szCs w:val="24"/>
              </w:rPr>
              <w:t>Y</w:t>
            </w:r>
          </w:p>
        </w:tc>
      </w:tr>
      <w:tr w14:paraId="3202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97B71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4A639E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w:t>
            </w:r>
          </w:p>
        </w:tc>
        <w:tc>
          <w:tcPr>
            <w:tcW w:w="2833" w:type="dxa"/>
            <w:noWrap w:val="0"/>
            <w:vAlign w:val="top"/>
          </w:tcPr>
          <w:p w14:paraId="7463E73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122599.405</w:t>
            </w:r>
          </w:p>
        </w:tc>
        <w:tc>
          <w:tcPr>
            <w:tcW w:w="3176" w:type="dxa"/>
            <w:noWrap w:val="0"/>
            <w:vAlign w:val="top"/>
          </w:tcPr>
          <w:p w14:paraId="4413095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264666.799</w:t>
            </w:r>
          </w:p>
        </w:tc>
      </w:tr>
      <w:tr w14:paraId="3FC2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21AC801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C977E7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J2</w:t>
            </w:r>
          </w:p>
        </w:tc>
        <w:tc>
          <w:tcPr>
            <w:tcW w:w="2833" w:type="dxa"/>
            <w:noWrap w:val="0"/>
            <w:vAlign w:val="top"/>
          </w:tcPr>
          <w:p w14:paraId="377E448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122663.073</w:t>
            </w:r>
          </w:p>
        </w:tc>
        <w:tc>
          <w:tcPr>
            <w:tcW w:w="3176" w:type="dxa"/>
            <w:noWrap w:val="0"/>
            <w:vAlign w:val="top"/>
          </w:tcPr>
          <w:p w14:paraId="027E286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264746.768</w:t>
            </w:r>
          </w:p>
        </w:tc>
      </w:tr>
      <w:tr w14:paraId="6684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574EAD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864AD0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J3</w:t>
            </w:r>
          </w:p>
        </w:tc>
        <w:tc>
          <w:tcPr>
            <w:tcW w:w="2833" w:type="dxa"/>
            <w:noWrap w:val="0"/>
            <w:vAlign w:val="top"/>
          </w:tcPr>
          <w:p w14:paraId="63C516A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122598.029</w:t>
            </w:r>
          </w:p>
        </w:tc>
        <w:tc>
          <w:tcPr>
            <w:tcW w:w="3176" w:type="dxa"/>
            <w:noWrap w:val="0"/>
            <w:vAlign w:val="top"/>
          </w:tcPr>
          <w:p w14:paraId="0289670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264796.940</w:t>
            </w:r>
          </w:p>
        </w:tc>
      </w:tr>
      <w:tr w14:paraId="697C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6EA370FE">
            <w:pPr>
              <w:keepNext w:val="0"/>
              <w:keepLines w:val="0"/>
              <w:pageBreakBefore w:val="0"/>
              <w:widowControl w:val="0"/>
              <w:kinsoku/>
              <w:wordWrap/>
              <w:overflowPunct/>
              <w:topLinePunct w:val="0"/>
              <w:autoSpaceDE/>
              <w:autoSpaceDN/>
              <w:bidi w:val="0"/>
              <w:adjustRightInd/>
              <w:snapToGrid/>
              <w:spacing w:before="78" w:line="400" w:lineRule="exact"/>
              <w:ind w:left="124"/>
              <w:textAlignment w:val="auto"/>
              <w:rPr>
                <w:rFonts w:ascii="仿宋" w:hAnsi="仿宋" w:eastAsia="仿宋" w:cs="仿宋"/>
                <w:sz w:val="24"/>
                <w:szCs w:val="24"/>
              </w:rPr>
            </w:pPr>
          </w:p>
        </w:tc>
        <w:tc>
          <w:tcPr>
            <w:tcW w:w="2061" w:type="dxa"/>
            <w:noWrap w:val="0"/>
            <w:vAlign w:val="top"/>
          </w:tcPr>
          <w:p w14:paraId="2F3559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J4</w:t>
            </w:r>
          </w:p>
        </w:tc>
        <w:tc>
          <w:tcPr>
            <w:tcW w:w="2833" w:type="dxa"/>
            <w:noWrap w:val="0"/>
            <w:vAlign w:val="top"/>
          </w:tcPr>
          <w:p w14:paraId="32FC007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122637.908</w:t>
            </w:r>
          </w:p>
        </w:tc>
        <w:tc>
          <w:tcPr>
            <w:tcW w:w="3176" w:type="dxa"/>
            <w:noWrap w:val="0"/>
            <w:vAlign w:val="top"/>
          </w:tcPr>
          <w:p w14:paraId="1D84541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264853.059</w:t>
            </w:r>
          </w:p>
        </w:tc>
      </w:tr>
      <w:tr w14:paraId="418B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ED0EEB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EC995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J5</w:t>
            </w:r>
          </w:p>
        </w:tc>
        <w:tc>
          <w:tcPr>
            <w:tcW w:w="2833" w:type="dxa"/>
            <w:noWrap w:val="0"/>
            <w:vAlign w:val="top"/>
          </w:tcPr>
          <w:p w14:paraId="20E86F4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122594.979</w:t>
            </w:r>
          </w:p>
        </w:tc>
        <w:tc>
          <w:tcPr>
            <w:tcW w:w="3176" w:type="dxa"/>
            <w:noWrap w:val="0"/>
            <w:vAlign w:val="top"/>
          </w:tcPr>
          <w:p w14:paraId="1CA47D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264885.808</w:t>
            </w:r>
          </w:p>
        </w:tc>
      </w:tr>
      <w:tr w14:paraId="2107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3F1240D1">
            <w:pPr>
              <w:keepNext w:val="0"/>
              <w:keepLines w:val="0"/>
              <w:pageBreakBefore w:val="0"/>
              <w:widowControl w:val="0"/>
              <w:kinsoku/>
              <w:wordWrap/>
              <w:overflowPunct/>
              <w:topLinePunct w:val="0"/>
              <w:autoSpaceDE/>
              <w:autoSpaceDN/>
              <w:bidi w:val="0"/>
              <w:adjustRightInd/>
              <w:snapToGrid/>
              <w:spacing w:before="109" w:line="400" w:lineRule="exact"/>
              <w:ind w:left="173"/>
              <w:textAlignment w:val="auto"/>
              <w:rPr>
                <w:rFonts w:ascii="仿宋" w:hAnsi="仿宋" w:eastAsia="仿宋" w:cs="仿宋"/>
                <w:sz w:val="24"/>
                <w:szCs w:val="24"/>
              </w:rPr>
            </w:pPr>
          </w:p>
        </w:tc>
        <w:tc>
          <w:tcPr>
            <w:tcW w:w="2061" w:type="dxa"/>
            <w:noWrap w:val="0"/>
            <w:vAlign w:val="top"/>
          </w:tcPr>
          <w:p w14:paraId="36155F6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J6</w:t>
            </w:r>
          </w:p>
        </w:tc>
        <w:tc>
          <w:tcPr>
            <w:tcW w:w="2833" w:type="dxa"/>
            <w:noWrap w:val="0"/>
            <w:vAlign w:val="top"/>
          </w:tcPr>
          <w:p w14:paraId="5336DBA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122567.648</w:t>
            </w:r>
          </w:p>
        </w:tc>
        <w:tc>
          <w:tcPr>
            <w:tcW w:w="3176" w:type="dxa"/>
            <w:noWrap w:val="0"/>
            <w:vAlign w:val="top"/>
          </w:tcPr>
          <w:p w14:paraId="6B53624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264926.690</w:t>
            </w:r>
          </w:p>
        </w:tc>
      </w:tr>
      <w:tr w14:paraId="74018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01CD8E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7625DE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J7</w:t>
            </w:r>
          </w:p>
        </w:tc>
        <w:tc>
          <w:tcPr>
            <w:tcW w:w="2833" w:type="dxa"/>
            <w:noWrap w:val="0"/>
            <w:vAlign w:val="top"/>
          </w:tcPr>
          <w:p w14:paraId="591F49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122549.039</w:t>
            </w:r>
          </w:p>
        </w:tc>
        <w:tc>
          <w:tcPr>
            <w:tcW w:w="3176" w:type="dxa"/>
            <w:noWrap w:val="0"/>
            <w:vAlign w:val="top"/>
          </w:tcPr>
          <w:p w14:paraId="2BD0073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264949.154</w:t>
            </w:r>
          </w:p>
        </w:tc>
      </w:tr>
      <w:tr w14:paraId="679D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52CA647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6961B4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J8</w:t>
            </w:r>
          </w:p>
        </w:tc>
        <w:tc>
          <w:tcPr>
            <w:tcW w:w="2833" w:type="dxa"/>
            <w:noWrap w:val="0"/>
            <w:vAlign w:val="top"/>
          </w:tcPr>
          <w:p w14:paraId="7A5757D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122510.761</w:t>
            </w:r>
          </w:p>
        </w:tc>
        <w:tc>
          <w:tcPr>
            <w:tcW w:w="3176" w:type="dxa"/>
            <w:noWrap w:val="0"/>
            <w:vAlign w:val="top"/>
          </w:tcPr>
          <w:p w14:paraId="7FAADBF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264854.449</w:t>
            </w:r>
          </w:p>
        </w:tc>
      </w:tr>
      <w:tr w14:paraId="77E3E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139C97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763578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J9</w:t>
            </w:r>
          </w:p>
        </w:tc>
        <w:tc>
          <w:tcPr>
            <w:tcW w:w="2833" w:type="dxa"/>
            <w:noWrap w:val="0"/>
            <w:vAlign w:val="top"/>
          </w:tcPr>
          <w:p w14:paraId="6BCA086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122480.307</w:t>
            </w:r>
          </w:p>
        </w:tc>
        <w:tc>
          <w:tcPr>
            <w:tcW w:w="3176" w:type="dxa"/>
            <w:noWrap w:val="0"/>
            <w:vAlign w:val="top"/>
          </w:tcPr>
          <w:p w14:paraId="043F575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264803.050</w:t>
            </w:r>
          </w:p>
        </w:tc>
      </w:tr>
      <w:tr w14:paraId="511C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3D4C9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8FBB4B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J10</w:t>
            </w:r>
          </w:p>
        </w:tc>
        <w:tc>
          <w:tcPr>
            <w:tcW w:w="2833" w:type="dxa"/>
            <w:noWrap w:val="0"/>
            <w:vAlign w:val="top"/>
          </w:tcPr>
          <w:p w14:paraId="54521D7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122487.328</w:t>
            </w:r>
          </w:p>
        </w:tc>
        <w:tc>
          <w:tcPr>
            <w:tcW w:w="3176" w:type="dxa"/>
            <w:noWrap w:val="0"/>
            <w:vAlign w:val="top"/>
          </w:tcPr>
          <w:p w14:paraId="0D60EE4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264791.676</w:t>
            </w:r>
          </w:p>
        </w:tc>
      </w:tr>
      <w:tr w14:paraId="3516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4C539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9CC0D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J11</w:t>
            </w:r>
          </w:p>
        </w:tc>
        <w:tc>
          <w:tcPr>
            <w:tcW w:w="2833" w:type="dxa"/>
            <w:noWrap w:val="0"/>
            <w:vAlign w:val="top"/>
          </w:tcPr>
          <w:p w14:paraId="0E0AAB1C">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122498.913</w:t>
            </w:r>
          </w:p>
        </w:tc>
        <w:tc>
          <w:tcPr>
            <w:tcW w:w="3176" w:type="dxa"/>
            <w:noWrap w:val="0"/>
            <w:vAlign w:val="top"/>
          </w:tcPr>
          <w:p w14:paraId="5F71B02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264790.204</w:t>
            </w:r>
          </w:p>
        </w:tc>
      </w:tr>
      <w:tr w14:paraId="63AB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1BA2D8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BCB91C7">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J12</w:t>
            </w:r>
          </w:p>
        </w:tc>
        <w:tc>
          <w:tcPr>
            <w:tcW w:w="2833" w:type="dxa"/>
            <w:noWrap w:val="0"/>
            <w:vAlign w:val="top"/>
          </w:tcPr>
          <w:p w14:paraId="21A1D85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122515.305</w:t>
            </w:r>
          </w:p>
        </w:tc>
        <w:tc>
          <w:tcPr>
            <w:tcW w:w="3176" w:type="dxa"/>
            <w:noWrap w:val="0"/>
            <w:vAlign w:val="top"/>
          </w:tcPr>
          <w:p w14:paraId="4856CC0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264779.199</w:t>
            </w:r>
          </w:p>
        </w:tc>
      </w:tr>
      <w:tr w14:paraId="7EF5C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D51D7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424BC03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J13</w:t>
            </w:r>
          </w:p>
        </w:tc>
        <w:tc>
          <w:tcPr>
            <w:tcW w:w="2833" w:type="dxa"/>
            <w:noWrap w:val="0"/>
            <w:vAlign w:val="top"/>
          </w:tcPr>
          <w:p w14:paraId="2E860EF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122566.491</w:t>
            </w:r>
          </w:p>
        </w:tc>
        <w:tc>
          <w:tcPr>
            <w:tcW w:w="3176" w:type="dxa"/>
            <w:noWrap w:val="0"/>
            <w:vAlign w:val="top"/>
          </w:tcPr>
          <w:p w14:paraId="308EE6C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264715.855</w:t>
            </w:r>
          </w:p>
        </w:tc>
      </w:tr>
      <w:tr w14:paraId="38FA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C3A496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077F8BC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J14</w:t>
            </w:r>
          </w:p>
        </w:tc>
        <w:tc>
          <w:tcPr>
            <w:tcW w:w="2833" w:type="dxa"/>
            <w:noWrap w:val="0"/>
            <w:vAlign w:val="top"/>
          </w:tcPr>
          <w:p w14:paraId="1B970F5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122572.414</w:t>
            </w:r>
          </w:p>
        </w:tc>
        <w:tc>
          <w:tcPr>
            <w:tcW w:w="3176" w:type="dxa"/>
            <w:noWrap w:val="0"/>
            <w:vAlign w:val="top"/>
          </w:tcPr>
          <w:p w14:paraId="1DC3595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264689.066</w:t>
            </w:r>
          </w:p>
        </w:tc>
      </w:tr>
    </w:tbl>
    <w:p w14:paraId="7D38E76D">
      <w:pPr>
        <w:spacing w:before="15"/>
      </w:pPr>
    </w:p>
    <w:p w14:paraId="4D4F9628">
      <w:pPr>
        <w:spacing w:before="15"/>
      </w:pPr>
      <w:r>
        <w:drawing>
          <wp:anchor distT="0" distB="0" distL="114300" distR="114300" simplePos="0" relativeHeight="251659264" behindDoc="1" locked="0" layoutInCell="1" allowOverlap="1">
            <wp:simplePos x="0" y="0"/>
            <wp:positionH relativeFrom="column">
              <wp:posOffset>-5715</wp:posOffset>
            </wp:positionH>
            <wp:positionV relativeFrom="paragraph">
              <wp:posOffset>53340</wp:posOffset>
            </wp:positionV>
            <wp:extent cx="5356225" cy="3213100"/>
            <wp:effectExtent l="0" t="0" r="15875" b="635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0"/>
                    <a:stretch>
                      <a:fillRect/>
                    </a:stretch>
                  </pic:blipFill>
                  <pic:spPr>
                    <a:xfrm>
                      <a:off x="0" y="0"/>
                      <a:ext cx="5356225" cy="3213100"/>
                    </a:xfrm>
                    <a:prstGeom prst="rect">
                      <a:avLst/>
                    </a:prstGeom>
                    <a:noFill/>
                    <a:ln>
                      <a:noFill/>
                    </a:ln>
                  </pic:spPr>
                </pic:pic>
              </a:graphicData>
            </a:graphic>
          </wp:anchor>
        </w:drawing>
      </w:r>
    </w:p>
    <w:p w14:paraId="3B73030D">
      <w:pPr>
        <w:spacing w:before="15"/>
      </w:pPr>
    </w:p>
    <w:p w14:paraId="551AD574">
      <w:pPr>
        <w:spacing w:before="14"/>
      </w:pPr>
    </w:p>
    <w:tbl>
      <w:tblPr>
        <w:tblStyle w:val="13"/>
        <w:tblpPr w:leftFromText="180" w:rightFromText="180" w:vertAnchor="text" w:horzAnchor="page" w:tblpX="3523" w:tblpY="25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3ECF1C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5E3D0660">
            <w:pPr>
              <w:pStyle w:val="14"/>
              <w:spacing w:before="136" w:line="191" w:lineRule="auto"/>
              <w:ind w:left="150"/>
              <w:rPr>
                <w:sz w:val="18"/>
                <w:szCs w:val="18"/>
              </w:rPr>
            </w:pPr>
            <w:r>
              <w:rPr>
                <w:spacing w:val="1"/>
                <w:sz w:val="18"/>
                <w:szCs w:val="18"/>
              </w:rPr>
              <w:t>地块一</w:t>
            </w:r>
          </w:p>
        </w:tc>
      </w:tr>
    </w:tbl>
    <w:p w14:paraId="417049BC">
      <w:pPr>
        <w:spacing w:before="14"/>
      </w:pPr>
    </w:p>
    <w:p w14:paraId="5E6F539D">
      <w:pPr>
        <w:spacing w:before="34"/>
      </w:pPr>
    </w:p>
    <w:p w14:paraId="0F615BDE">
      <w:pPr>
        <w:spacing w:before="34"/>
      </w:pPr>
    </w:p>
    <w:p w14:paraId="26695204">
      <w:pPr>
        <w:spacing w:before="33"/>
      </w:pPr>
    </w:p>
    <w:p w14:paraId="248F01DA">
      <w:pPr>
        <w:spacing w:before="33"/>
      </w:pPr>
    </w:p>
    <w:tbl>
      <w:tblPr>
        <w:tblStyle w:val="13"/>
        <w:tblpPr w:leftFromText="180" w:rightFromText="180" w:vertAnchor="text" w:horzAnchor="page" w:tblpX="4933" w:tblpY="16"/>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69A2E6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83AFB6A">
            <w:pPr>
              <w:pStyle w:val="14"/>
              <w:spacing w:before="136" w:line="191" w:lineRule="auto"/>
              <w:ind w:left="151"/>
              <w:rPr>
                <w:sz w:val="18"/>
                <w:szCs w:val="18"/>
              </w:rPr>
            </w:pPr>
            <w:r>
              <w:rPr>
                <w:spacing w:val="-2"/>
                <w:sz w:val="18"/>
                <w:szCs w:val="18"/>
              </w:rPr>
              <w:t>地块二</w:t>
            </w:r>
          </w:p>
        </w:tc>
      </w:tr>
    </w:tbl>
    <w:p w14:paraId="0E362319">
      <w:pPr>
        <w:spacing w:before="33"/>
      </w:pPr>
    </w:p>
    <w:p w14:paraId="47E21812">
      <w:pPr>
        <w:spacing w:before="53"/>
      </w:pPr>
    </w:p>
    <w:p w14:paraId="46D2B013">
      <w:pPr>
        <w:spacing w:before="52"/>
      </w:pPr>
    </w:p>
    <w:tbl>
      <w:tblPr>
        <w:tblStyle w:val="13"/>
        <w:tblpPr w:leftFromText="180" w:rightFromText="180" w:vertAnchor="text" w:horzAnchor="page" w:tblpX="3313" w:tblpY="10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445D1B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BF94889">
            <w:pPr>
              <w:pStyle w:val="14"/>
              <w:spacing w:before="135" w:line="191" w:lineRule="auto"/>
              <w:ind w:left="150"/>
              <w:rPr>
                <w:sz w:val="18"/>
                <w:szCs w:val="18"/>
              </w:rPr>
            </w:pPr>
            <w:r>
              <w:rPr>
                <w:spacing w:val="-2"/>
                <w:sz w:val="18"/>
                <w:szCs w:val="18"/>
              </w:rPr>
              <w:t>地块三</w:t>
            </w:r>
          </w:p>
        </w:tc>
      </w:tr>
    </w:tbl>
    <w:p w14:paraId="5DD08D6D">
      <w:pPr>
        <w:spacing w:before="52"/>
      </w:pPr>
    </w:p>
    <w:p w14:paraId="3D0C2063">
      <w:pPr>
        <w:spacing w:before="52"/>
      </w:pPr>
    </w:p>
    <w:p w14:paraId="6971C405">
      <w:pPr>
        <w:pStyle w:val="5"/>
        <w:spacing w:line="284" w:lineRule="auto"/>
      </w:pPr>
    </w:p>
    <w:p w14:paraId="25AF3044">
      <w:pPr>
        <w:pStyle w:val="5"/>
        <w:spacing w:line="285" w:lineRule="auto"/>
      </w:pPr>
    </w:p>
    <w:p w14:paraId="6CE0B05F">
      <w:pPr>
        <w:spacing w:before="91" w:line="218" w:lineRule="auto"/>
        <w:ind w:left="1289"/>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7"/>
          <w:sz w:val="28"/>
          <w:szCs w:val="28"/>
        </w:rPr>
        <w:t>图</w:t>
      </w:r>
      <w:r>
        <w:rPr>
          <w:rFonts w:ascii="仿宋" w:hAnsi="仿宋" w:eastAsia="仿宋" w:cs="仿宋"/>
          <w:spacing w:val="-40"/>
          <w:sz w:val="28"/>
          <w:szCs w:val="28"/>
        </w:rPr>
        <w:t xml:space="preserve"> </w:t>
      </w:r>
      <w:r>
        <w:rPr>
          <w:rFonts w:ascii="仿宋" w:hAnsi="仿宋" w:eastAsia="仿宋" w:cs="仿宋"/>
          <w:b/>
          <w:bCs/>
          <w:spacing w:val="-7"/>
          <w:sz w:val="28"/>
          <w:szCs w:val="28"/>
        </w:rPr>
        <w:t>2-1</w:t>
      </w:r>
      <w:r>
        <w:rPr>
          <w:rFonts w:ascii="仿宋" w:hAnsi="仿宋" w:eastAsia="仿宋" w:cs="仿宋"/>
          <w:spacing w:val="-51"/>
          <w:sz w:val="28"/>
          <w:szCs w:val="28"/>
        </w:rPr>
        <w:t xml:space="preserve"> </w:t>
      </w:r>
      <w:r>
        <w:rPr>
          <w:rFonts w:ascii="仿宋" w:hAnsi="仿宋" w:eastAsia="仿宋" w:cs="仿宋"/>
          <w:b/>
          <w:bCs/>
          <w:spacing w:val="-7"/>
          <w:sz w:val="28"/>
          <w:szCs w:val="28"/>
        </w:rPr>
        <w:t>拟建场地区位图（引自高德地图</w:t>
      </w:r>
      <w:r>
        <w:rPr>
          <w:rFonts w:ascii="仿宋" w:hAnsi="仿宋" w:eastAsia="仿宋" w:cs="仿宋"/>
          <w:spacing w:val="-56"/>
          <w:sz w:val="28"/>
          <w:szCs w:val="28"/>
        </w:rPr>
        <w:t xml:space="preserve"> </w:t>
      </w:r>
      <w:r>
        <w:rPr>
          <w:rFonts w:ascii="仿宋" w:hAnsi="仿宋" w:eastAsia="仿宋" w:cs="仿宋"/>
          <w:b/>
          <w:bCs/>
          <w:spacing w:val="-7"/>
          <w:sz w:val="28"/>
          <w:szCs w:val="28"/>
        </w:rPr>
        <w:t>2024</w:t>
      </w:r>
      <w:r>
        <w:rPr>
          <w:rFonts w:ascii="仿宋" w:hAnsi="仿宋" w:eastAsia="仿宋" w:cs="仿宋"/>
          <w:spacing w:val="-54"/>
          <w:sz w:val="28"/>
          <w:szCs w:val="28"/>
        </w:rPr>
        <w:t xml:space="preserve"> </w:t>
      </w:r>
      <w:r>
        <w:rPr>
          <w:rFonts w:ascii="仿宋" w:hAnsi="仿宋" w:eastAsia="仿宋" w:cs="仿宋"/>
          <w:b/>
          <w:bCs/>
          <w:spacing w:val="-7"/>
          <w:sz w:val="28"/>
          <w:szCs w:val="28"/>
        </w:rPr>
        <w:t>版）</w:t>
      </w:r>
    </w:p>
    <w:p w14:paraId="34205DC2">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三、开挖土石方量估算</w:t>
      </w:r>
    </w:p>
    <w:p w14:paraId="4095B38A">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地块一场地内开挖残坡积土25305m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、全风化角砾岩18736m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、强风化角砾岩1603m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45826012">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地块二场地内开挖残坡积土30521m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,全风化角砾岩78331m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5B6D0E87">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地块三开挖土石方量经与各方单位沟通暂不考虑，本工程回填土石方量经暂不考虑，故自用量为0，具体需处置土石料汇总详见下表4-1。</w:t>
      </w:r>
    </w:p>
    <w:p w14:paraId="0203EEB7">
      <w:pPr>
        <w:spacing w:before="49" w:line="216" w:lineRule="auto"/>
        <w:ind w:left="1537"/>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4"/>
          <w:sz w:val="28"/>
          <w:szCs w:val="28"/>
        </w:rPr>
        <w:t>表</w:t>
      </w:r>
      <w:r>
        <w:rPr>
          <w:rFonts w:ascii="仿宋" w:hAnsi="仿宋" w:eastAsia="仿宋" w:cs="仿宋"/>
          <w:spacing w:val="-48"/>
          <w:sz w:val="28"/>
          <w:szCs w:val="28"/>
        </w:rPr>
        <w:t xml:space="preserve"> </w:t>
      </w:r>
      <w:r>
        <w:rPr>
          <w:rFonts w:ascii="仿宋" w:hAnsi="仿宋" w:eastAsia="仿宋" w:cs="仿宋"/>
          <w:b/>
          <w:bCs/>
          <w:spacing w:val="-4"/>
          <w:sz w:val="28"/>
          <w:szCs w:val="28"/>
        </w:rPr>
        <w:t>4-1</w:t>
      </w:r>
      <w:r>
        <w:rPr>
          <w:rFonts w:ascii="仿宋" w:hAnsi="仿宋" w:eastAsia="仿宋" w:cs="仿宋"/>
          <w:spacing w:val="-4"/>
          <w:sz w:val="28"/>
          <w:szCs w:val="28"/>
        </w:rPr>
        <w:t xml:space="preserve"> </w:t>
      </w:r>
      <w:r>
        <w:rPr>
          <w:rFonts w:ascii="仿宋" w:hAnsi="仿宋" w:eastAsia="仿宋" w:cs="仿宋"/>
          <w:b/>
          <w:bCs/>
          <w:spacing w:val="-4"/>
          <w:sz w:val="28"/>
          <w:szCs w:val="28"/>
        </w:rPr>
        <w:t>未来社区地块需处置土石料详表</w:t>
      </w:r>
    </w:p>
    <w:tbl>
      <w:tblPr>
        <w:tblStyle w:val="13"/>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2125"/>
        <w:gridCol w:w="2126"/>
        <w:gridCol w:w="2272"/>
      </w:tblGrid>
      <w:tr w14:paraId="1B8E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71B56FA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地块</w:t>
            </w:r>
          </w:p>
        </w:tc>
        <w:tc>
          <w:tcPr>
            <w:tcW w:w="2125" w:type="dxa"/>
            <w:noWrap w:val="0"/>
            <w:vAlign w:val="center"/>
          </w:tcPr>
          <w:p w14:paraId="4EA87143">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残坡积土</w:t>
            </w:r>
          </w:p>
        </w:tc>
        <w:tc>
          <w:tcPr>
            <w:tcW w:w="2126" w:type="dxa"/>
            <w:noWrap w:val="0"/>
            <w:vAlign w:val="center"/>
          </w:tcPr>
          <w:p w14:paraId="7EA6B135">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全风化角砾岩</w:t>
            </w:r>
          </w:p>
        </w:tc>
        <w:tc>
          <w:tcPr>
            <w:tcW w:w="2272" w:type="dxa"/>
            <w:noWrap w:val="0"/>
            <w:vAlign w:val="center"/>
          </w:tcPr>
          <w:p w14:paraId="63AB18C3">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强风化角砾岩</w:t>
            </w:r>
          </w:p>
        </w:tc>
      </w:tr>
      <w:tr w14:paraId="270D3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0E3710E6">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1"/>
                <w:sz w:val="24"/>
                <w:szCs w:val="24"/>
              </w:rPr>
              <w:t>地块一</w:t>
            </w:r>
          </w:p>
        </w:tc>
        <w:tc>
          <w:tcPr>
            <w:tcW w:w="2125" w:type="dxa"/>
            <w:noWrap w:val="0"/>
            <w:vAlign w:val="center"/>
          </w:tcPr>
          <w:p w14:paraId="5F793F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25305</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3658E4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3"/>
                <w:sz w:val="24"/>
                <w:szCs w:val="24"/>
                <w:lang w:eastAsia="zh-CN"/>
              </w:rPr>
              <w:t>18736</w:t>
            </w:r>
            <w:r>
              <w:rPr>
                <w:rFonts w:ascii="仿宋" w:hAnsi="仿宋" w:eastAsia="仿宋" w:cs="仿宋"/>
                <w:spacing w:val="-3"/>
                <w:sz w:val="24"/>
                <w:szCs w:val="24"/>
              </w:rPr>
              <w:t>m</w:t>
            </w:r>
            <w:r>
              <w:rPr>
                <w:rFonts w:ascii="仿宋" w:hAnsi="仿宋" w:eastAsia="仿宋" w:cs="仿宋"/>
                <w:spacing w:val="-3"/>
                <w:position w:val="10"/>
                <w:sz w:val="24"/>
                <w:szCs w:val="24"/>
              </w:rPr>
              <w:t>3</w:t>
            </w:r>
          </w:p>
        </w:tc>
        <w:tc>
          <w:tcPr>
            <w:tcW w:w="2272" w:type="dxa"/>
            <w:noWrap w:val="0"/>
            <w:vAlign w:val="center"/>
          </w:tcPr>
          <w:p w14:paraId="02F6654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tc>
      </w:tr>
      <w:tr w14:paraId="62949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09FCBB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地块二</w:t>
            </w:r>
          </w:p>
        </w:tc>
        <w:tc>
          <w:tcPr>
            <w:tcW w:w="2125" w:type="dxa"/>
            <w:noWrap w:val="0"/>
            <w:vAlign w:val="center"/>
          </w:tcPr>
          <w:p w14:paraId="4690C5D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30521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6A42CB24">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78331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272" w:type="dxa"/>
            <w:noWrap w:val="0"/>
            <w:vAlign w:val="center"/>
          </w:tcPr>
          <w:p w14:paraId="256057FB">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3"/>
                <w:position w:val="-1"/>
                <w:sz w:val="24"/>
                <w:szCs w:val="24"/>
              </w:rPr>
              <w:t>0m</w:t>
            </w:r>
            <w:r>
              <w:rPr>
                <w:rFonts w:ascii="仿宋" w:hAnsi="仿宋" w:eastAsia="仿宋" w:cs="仿宋"/>
                <w:spacing w:val="-3"/>
                <w:position w:val="9"/>
                <w:sz w:val="24"/>
                <w:szCs w:val="24"/>
              </w:rPr>
              <w:t>3</w:t>
            </w:r>
          </w:p>
        </w:tc>
      </w:tr>
      <w:tr w14:paraId="26692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9B40FC9">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单轴抗压强度</w:t>
            </w:r>
          </w:p>
        </w:tc>
        <w:tc>
          <w:tcPr>
            <w:tcW w:w="2125" w:type="dxa"/>
            <w:noWrap w:val="0"/>
            <w:vAlign w:val="center"/>
          </w:tcPr>
          <w:p w14:paraId="5396546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sz w:val="24"/>
                <w:szCs w:val="24"/>
              </w:rPr>
            </w:pPr>
          </w:p>
        </w:tc>
        <w:tc>
          <w:tcPr>
            <w:tcW w:w="2126" w:type="dxa"/>
            <w:noWrap w:val="0"/>
            <w:vAlign w:val="center"/>
          </w:tcPr>
          <w:p w14:paraId="358B91D9">
            <w:pPr>
              <w:keepNext w:val="0"/>
              <w:keepLines w:val="0"/>
              <w:pageBreakBefore w:val="0"/>
              <w:widowControl w:val="0"/>
              <w:kinsoku/>
              <w:wordWrap/>
              <w:overflowPunct/>
              <w:topLinePunct w:val="0"/>
              <w:autoSpaceDE/>
              <w:autoSpaceDN/>
              <w:bidi w:val="0"/>
              <w:adjustRightInd/>
              <w:snapToGrid/>
              <w:spacing w:line="223" w:lineRule="auto"/>
              <w:ind w:left="0" w:right="0"/>
              <w:jc w:val="center"/>
              <w:textAlignment w:val="auto"/>
              <w:rPr>
                <w:rFonts w:ascii="仿宋" w:hAnsi="仿宋" w:eastAsia="仿宋" w:cs="仿宋"/>
                <w:sz w:val="24"/>
                <w:szCs w:val="24"/>
              </w:rPr>
            </w:pPr>
            <w:r>
              <w:rPr>
                <w:rFonts w:ascii="仿宋" w:hAnsi="仿宋" w:eastAsia="仿宋" w:cs="仿宋"/>
                <w:sz w:val="24"/>
                <w:szCs w:val="24"/>
              </w:rPr>
              <w:t>/</w:t>
            </w:r>
          </w:p>
        </w:tc>
        <w:tc>
          <w:tcPr>
            <w:tcW w:w="2272" w:type="dxa"/>
            <w:noWrap w:val="0"/>
            <w:vAlign w:val="center"/>
          </w:tcPr>
          <w:p w14:paraId="07E7EE65">
            <w:pPr>
              <w:keepNext w:val="0"/>
              <w:keepLines w:val="0"/>
              <w:pageBreakBefore w:val="0"/>
              <w:widowControl w:val="0"/>
              <w:kinsoku/>
              <w:wordWrap/>
              <w:overflowPunct/>
              <w:topLinePunct w:val="0"/>
              <w:autoSpaceDE/>
              <w:autoSpaceDN/>
              <w:bidi w:val="0"/>
              <w:adjustRightInd/>
              <w:snapToGrid/>
              <w:spacing w:line="180"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10</w:t>
            </w:r>
          </w:p>
        </w:tc>
      </w:tr>
      <w:tr w14:paraId="5DAD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BCB19E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5"/>
                <w:sz w:val="24"/>
                <w:szCs w:val="24"/>
              </w:rPr>
              <w:t>重度</w:t>
            </w:r>
          </w:p>
        </w:tc>
        <w:tc>
          <w:tcPr>
            <w:tcW w:w="2125" w:type="dxa"/>
            <w:noWrap w:val="0"/>
            <w:vAlign w:val="center"/>
          </w:tcPr>
          <w:p w14:paraId="31CE299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1.89g/cm</w:t>
            </w:r>
            <w:r>
              <w:rPr>
                <w:rFonts w:ascii="仿宋" w:hAnsi="仿宋" w:eastAsia="仿宋" w:cs="仿宋"/>
                <w:spacing w:val="-3"/>
                <w:position w:val="10"/>
                <w:sz w:val="24"/>
                <w:szCs w:val="24"/>
              </w:rPr>
              <w:t>3</w:t>
            </w:r>
          </w:p>
        </w:tc>
        <w:tc>
          <w:tcPr>
            <w:tcW w:w="2126" w:type="dxa"/>
            <w:noWrap w:val="0"/>
            <w:vAlign w:val="center"/>
          </w:tcPr>
          <w:p w14:paraId="424F5386">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1.99</w:t>
            </w:r>
            <w:r>
              <w:rPr>
                <w:rFonts w:ascii="仿宋" w:hAnsi="仿宋" w:eastAsia="仿宋" w:cs="仿宋"/>
                <w:spacing w:val="15"/>
                <w:sz w:val="24"/>
                <w:szCs w:val="24"/>
              </w:rPr>
              <w:t xml:space="preserve"> </w:t>
            </w:r>
            <w:r>
              <w:rPr>
                <w:rFonts w:ascii="仿宋" w:hAnsi="仿宋" w:eastAsia="仿宋" w:cs="仿宋"/>
                <w:spacing w:val="-4"/>
                <w:sz w:val="24"/>
                <w:szCs w:val="24"/>
              </w:rPr>
              <w:t>g/cm</w:t>
            </w:r>
            <w:r>
              <w:rPr>
                <w:rFonts w:ascii="仿宋" w:hAnsi="仿宋" w:eastAsia="仿宋" w:cs="仿宋"/>
                <w:spacing w:val="-4"/>
                <w:position w:val="10"/>
                <w:sz w:val="24"/>
                <w:szCs w:val="24"/>
              </w:rPr>
              <w:t>3</w:t>
            </w:r>
          </w:p>
        </w:tc>
        <w:tc>
          <w:tcPr>
            <w:tcW w:w="2272" w:type="dxa"/>
            <w:noWrap w:val="0"/>
            <w:vAlign w:val="center"/>
          </w:tcPr>
          <w:p w14:paraId="159D85A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2.0</w:t>
            </w:r>
            <w:r>
              <w:rPr>
                <w:rFonts w:ascii="仿宋" w:hAnsi="仿宋" w:eastAsia="仿宋" w:cs="仿宋"/>
                <w:spacing w:val="15"/>
                <w:sz w:val="24"/>
                <w:szCs w:val="24"/>
              </w:rPr>
              <w:t xml:space="preserve"> </w:t>
            </w:r>
            <w:r>
              <w:rPr>
                <w:rFonts w:ascii="仿宋" w:hAnsi="仿宋" w:eastAsia="仿宋" w:cs="仿宋"/>
                <w:spacing w:val="-3"/>
                <w:sz w:val="24"/>
                <w:szCs w:val="24"/>
              </w:rPr>
              <w:t>g/cm</w:t>
            </w:r>
            <w:r>
              <w:rPr>
                <w:rFonts w:ascii="仿宋" w:hAnsi="仿宋" w:eastAsia="仿宋" w:cs="仿宋"/>
                <w:spacing w:val="-3"/>
                <w:position w:val="10"/>
                <w:sz w:val="24"/>
                <w:szCs w:val="24"/>
              </w:rPr>
              <w:t>3</w:t>
            </w:r>
          </w:p>
        </w:tc>
      </w:tr>
      <w:tr w14:paraId="4DA0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F31BE8E">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总计</w:t>
            </w:r>
          </w:p>
        </w:tc>
        <w:tc>
          <w:tcPr>
            <w:tcW w:w="2125" w:type="dxa"/>
            <w:noWrap w:val="0"/>
            <w:vAlign w:val="center"/>
          </w:tcPr>
          <w:p w14:paraId="428EFCBA">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55826</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30C2ED68">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105511</w:t>
            </w:r>
            <w:r>
              <w:rPr>
                <w:rFonts w:ascii="仿宋" w:hAnsi="仿宋" w:eastAsia="仿宋" w:cs="仿宋"/>
                <w:spacing w:val="-32"/>
                <w:sz w:val="24"/>
                <w:szCs w:val="24"/>
              </w:rPr>
              <w:t xml:space="preserve"> </w:t>
            </w:r>
            <w:r>
              <w:rPr>
                <w:rFonts w:ascii="仿宋" w:hAnsi="仿宋" w:eastAsia="仿宋" w:cs="仿宋"/>
                <w:spacing w:val="-7"/>
                <w:sz w:val="24"/>
                <w:szCs w:val="24"/>
              </w:rPr>
              <w:t>吨)</w:t>
            </w:r>
          </w:p>
        </w:tc>
        <w:tc>
          <w:tcPr>
            <w:tcW w:w="2126" w:type="dxa"/>
            <w:noWrap w:val="0"/>
            <w:vAlign w:val="center"/>
          </w:tcPr>
          <w:p w14:paraId="31E2ECE5">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97067</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6F0353E7">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193163</w:t>
            </w:r>
            <w:r>
              <w:rPr>
                <w:rFonts w:ascii="仿宋" w:hAnsi="仿宋" w:eastAsia="仿宋" w:cs="仿宋"/>
                <w:spacing w:val="-7"/>
                <w:sz w:val="24"/>
                <w:szCs w:val="24"/>
              </w:rPr>
              <w:t>吨)</w:t>
            </w:r>
          </w:p>
        </w:tc>
        <w:tc>
          <w:tcPr>
            <w:tcW w:w="2272" w:type="dxa"/>
            <w:noWrap w:val="0"/>
            <w:vAlign w:val="center"/>
          </w:tcPr>
          <w:p w14:paraId="77A87588">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pacing w:val="-4"/>
                <w:position w:val="10"/>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p w14:paraId="317EF5B5">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z w:val="24"/>
                <w:szCs w:val="24"/>
              </w:rPr>
            </w:pPr>
            <w:r>
              <w:rPr>
                <w:rFonts w:ascii="仿宋" w:hAnsi="仿宋" w:eastAsia="仿宋" w:cs="仿宋"/>
                <w:spacing w:val="-9"/>
                <w:sz w:val="24"/>
                <w:szCs w:val="24"/>
              </w:rPr>
              <w:t>(3206</w:t>
            </w:r>
            <w:r>
              <w:rPr>
                <w:rFonts w:ascii="仿宋" w:hAnsi="仿宋" w:eastAsia="仿宋" w:cs="仿宋"/>
                <w:spacing w:val="-33"/>
                <w:sz w:val="24"/>
                <w:szCs w:val="24"/>
              </w:rPr>
              <w:t xml:space="preserve"> </w:t>
            </w:r>
            <w:r>
              <w:rPr>
                <w:rFonts w:ascii="仿宋" w:hAnsi="仿宋" w:eastAsia="仿宋" w:cs="仿宋"/>
                <w:spacing w:val="-9"/>
                <w:sz w:val="24"/>
                <w:szCs w:val="24"/>
              </w:rPr>
              <w:t>吨)</w:t>
            </w:r>
          </w:p>
        </w:tc>
      </w:tr>
    </w:tbl>
    <w:p w14:paraId="0AE7FA3D"/>
    <w:p w14:paraId="2843BC4C">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47A2FA33"/>
    <w:p w14:paraId="083147B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lang w:val="en-US" w:eastAsia="zh-CN"/>
        </w:rPr>
      </w:pPr>
    </w:p>
    <w:p w14:paraId="066CDCE0"/>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34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2C01B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2C01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4B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D1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0DB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71E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110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EC251"/>
    <w:multiLevelType w:val="singleLevel"/>
    <w:tmpl w:val="B07EC251"/>
    <w:lvl w:ilvl="0" w:tentative="0">
      <w:start w:val="1"/>
      <w:numFmt w:val="chineseCounting"/>
      <w:suff w:val="nothing"/>
      <w:lvlText w:val="（%1）"/>
      <w:lvlJc w:val="left"/>
      <w:rPr>
        <w:rFonts w:hint="eastAsia"/>
      </w:rPr>
    </w:lvl>
  </w:abstractNum>
  <w:abstractNum w:abstractNumId="1">
    <w:nsid w:val="EEE1ADDA"/>
    <w:multiLevelType w:val="singleLevel"/>
    <w:tmpl w:val="EEE1ADDA"/>
    <w:lvl w:ilvl="0" w:tentative="0">
      <w:start w:val="4"/>
      <w:numFmt w:val="chineseCounting"/>
      <w:suff w:val="space"/>
      <w:lvlText w:val="第%1条"/>
      <w:lvlJc w:val="left"/>
      <w:rPr>
        <w:rFonts w:hint="eastAsia"/>
        <w:b/>
        <w:bCs/>
      </w:rPr>
    </w:lvl>
  </w:abstractNum>
  <w:abstractNum w:abstractNumId="2">
    <w:nsid w:val="3113469D"/>
    <w:multiLevelType w:val="singleLevel"/>
    <w:tmpl w:val="3113469D"/>
    <w:lvl w:ilvl="0" w:tentative="0">
      <w:start w:val="4"/>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62287"/>
    <w:rsid w:val="09DB3BBB"/>
    <w:rsid w:val="0C362287"/>
    <w:rsid w:val="20622D26"/>
    <w:rsid w:val="4F622A79"/>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4">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10837</Words>
  <Characters>11165</Characters>
  <Lines>0</Lines>
  <Paragraphs>0</Paragraphs>
  <TotalTime>0</TotalTime>
  <ScaleCrop>false</ScaleCrop>
  <LinksUpToDate>false</LinksUpToDate>
  <CharactersWithSpaces>11470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2025-05-20T03:17:00Z</dcterms:created>
  <dc:creator>阳明拍卖</dc:creator>
  <cp:lastModifiedBy>阳明拍卖</cp:lastModifiedBy>
  <dcterms:modified xsi:type="dcterms:W3CDTF">2025-08-11T08:03:24Z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430E201BF32D44D8AF7BE9541D1042AD_11</vt:lpwstr>
  </property>
  <property fmtid="{D5CDD505-2E9C-101B-9397-08002B2CF9AE}" pid="4" name="KSOTemplateDocerSaveRecord">
    <vt:lpwstr>eyJoZGlkIjoiYzVmZDliNTI5MGEzNzgwZTIzY2FkY2YzNjVmMDI2NjIiLCJ1c2VySWQiOiI2NDI4NjU5NTMifQ==</vt:lpwstr>
  </property>
</Properties>
</file>