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38DDD">
      <w:pPr>
        <w:spacing w:line="440" w:lineRule="atLeast"/>
        <w:jc w:val="center"/>
        <w:rPr>
          <w:rFonts w:ascii="宋体" w:hAnsi="宋体"/>
          <w:b/>
          <w:bCs/>
          <w:color w:val="000000" w:themeColor="text1"/>
          <w:spacing w:val="60"/>
          <w:sz w:val="52"/>
          <w:szCs w:val="52"/>
          <w14:textFill>
            <w14:solidFill>
              <w14:schemeClr w14:val="tx1"/>
            </w14:solidFill>
          </w14:textFill>
        </w:rPr>
      </w:pPr>
      <w:r>
        <w:rPr>
          <w:rFonts w:hint="eastAsia" w:ascii="宋体" w:hAnsi="宋体"/>
          <w:b/>
          <w:bCs/>
          <w:color w:val="000000" w:themeColor="text1"/>
          <w:spacing w:val="60"/>
          <w:sz w:val="52"/>
          <w:szCs w:val="52"/>
          <w14:textFill>
            <w14:solidFill>
              <w14:schemeClr w14:val="tx1"/>
            </w14:solidFill>
          </w14:textFill>
        </w:rPr>
        <w:t>宁波阳明拍卖有限公司</w:t>
      </w:r>
    </w:p>
    <w:p w14:paraId="5EF55765">
      <w:pPr>
        <w:spacing w:line="440" w:lineRule="atLeast"/>
        <w:jc w:val="center"/>
        <w:rPr>
          <w:rFonts w:ascii="宋体" w:hAnsi="宋体"/>
          <w:b/>
          <w:color w:val="000000" w:themeColor="text1"/>
          <w:sz w:val="52"/>
          <w:szCs w:val="52"/>
          <w14:textFill>
            <w14:solidFill>
              <w14:schemeClr w14:val="tx1"/>
            </w14:solidFill>
          </w14:textFill>
        </w:rPr>
      </w:pPr>
    </w:p>
    <w:p w14:paraId="64B6B8F0">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拍</w:t>
      </w:r>
    </w:p>
    <w:p w14:paraId="197410A6">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卖</w:t>
      </w:r>
    </w:p>
    <w:p w14:paraId="6585BF6C">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须</w:t>
      </w:r>
    </w:p>
    <w:p w14:paraId="4470C381">
      <w:pPr>
        <w:spacing w:before="156" w:beforeLines="50" w:after="156" w:afterLines="50" w:line="440" w:lineRule="atLeast"/>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知</w:t>
      </w:r>
    </w:p>
    <w:p w14:paraId="6F145312">
      <w:pPr>
        <w:spacing w:line="440" w:lineRule="atLeast"/>
        <w:jc w:val="center"/>
        <w:rPr>
          <w:rFonts w:ascii="宋体" w:hAnsi="宋体"/>
          <w:b/>
          <w:bCs/>
          <w:color w:val="000000" w:themeColor="text1"/>
          <w:sz w:val="52"/>
          <w:szCs w:val="52"/>
          <w14:textFill>
            <w14:solidFill>
              <w14:schemeClr w14:val="tx1"/>
            </w14:solidFill>
          </w14:textFill>
        </w:rPr>
      </w:pPr>
    </w:p>
    <w:p w14:paraId="40914A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rPr>
          <w:rFonts w:ascii="宋体" w:hAnsi="宋体" w:cs="宋体"/>
          <w:color w:val="000000" w:themeColor="text1"/>
          <w:kern w:val="0"/>
          <w:szCs w:val="21"/>
          <w14:textFill>
            <w14:solidFill>
              <w14:schemeClr w14:val="tx1"/>
            </w14:solidFill>
          </w14:textFill>
        </w:rPr>
      </w:pPr>
      <w:r>
        <w:rPr>
          <w:rFonts w:hint="eastAsia"/>
          <w:b/>
          <w:bCs/>
          <w:color w:val="000000" w:themeColor="text1"/>
          <w:sz w:val="24"/>
          <w14:textFill>
            <w14:solidFill>
              <w14:schemeClr w14:val="tx1"/>
            </w14:solidFill>
          </w14:textFill>
        </w:rPr>
        <w:t>拍卖会名称</w:t>
      </w:r>
      <w:r>
        <w:rPr>
          <w:rFonts w:hint="eastAsia" w:ascii="宋体" w:hAnsi="宋体" w:cs="楷体_GB2312"/>
          <w:color w:val="000000" w:themeColor="text1"/>
          <w:sz w:val="24"/>
          <w14:textFill>
            <w14:solidFill>
              <w14:schemeClr w14:val="tx1"/>
            </w14:solidFill>
          </w14:textFill>
        </w:rPr>
        <w:t>：</w:t>
      </w:r>
      <w:r>
        <w:rPr>
          <w:rFonts w:hint="eastAsia" w:ascii="宋体" w:hAnsi="宋体" w:cs="Times New Roman"/>
          <w:color w:val="000000" w:themeColor="text1"/>
          <w:kern w:val="0"/>
          <w:sz w:val="24"/>
          <w:szCs w:val="24"/>
          <w:lang w:val="en-US" w:eastAsia="zh-CN" w:bidi="ar-SA"/>
          <w14:textFill>
            <w14:solidFill>
              <w14:schemeClr w14:val="tx1"/>
            </w14:solidFill>
          </w14:textFill>
        </w:rPr>
        <w:t>余姚市牟山镇振华路23号等16套商铺租赁权</w:t>
      </w:r>
      <w:r>
        <w:rPr>
          <w:rFonts w:hint="eastAsia" w:ascii="宋体" w:hAnsi="宋体" w:cs="宋体"/>
          <w:color w:val="000000" w:themeColor="text1"/>
          <w:kern w:val="0"/>
          <w:sz w:val="24"/>
          <w14:textFill>
            <w14:solidFill>
              <w14:schemeClr w14:val="tx1"/>
            </w14:solidFill>
          </w14:textFill>
        </w:rPr>
        <w:t>拍卖会</w:t>
      </w:r>
    </w:p>
    <w:p w14:paraId="5C6B34F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rPr>
          <w:rFonts w:hint="eastAsia" w:ascii="宋体" w:hAnsi="宋体" w:cs="Times New Roman"/>
          <w:color w:val="000000" w:themeColor="text1"/>
          <w:kern w:val="0"/>
          <w:sz w:val="24"/>
          <w:szCs w:val="24"/>
          <w:lang w:val="en-US" w:eastAsia="zh-CN" w:bidi="ar-SA"/>
          <w14:textFill>
            <w14:solidFill>
              <w14:schemeClr w14:val="tx1"/>
            </w14:solidFill>
          </w14:textFill>
        </w:rPr>
      </w:pPr>
      <w:r>
        <w:rPr>
          <w:rFonts w:hint="eastAsia" w:ascii="宋体" w:hAnsi="宋体"/>
          <w:b/>
          <w:color w:val="000000" w:themeColor="text1"/>
          <w:sz w:val="24"/>
          <w14:textFill>
            <w14:solidFill>
              <w14:schemeClr w14:val="tx1"/>
            </w14:solidFill>
          </w14:textFill>
        </w:rPr>
        <w:t>拍卖标的：</w:t>
      </w:r>
      <w:r>
        <w:rPr>
          <w:rFonts w:hint="eastAsia" w:ascii="宋体" w:hAnsi="宋体" w:cs="Times New Roman"/>
          <w:color w:val="000000" w:themeColor="text1"/>
          <w:kern w:val="0"/>
          <w:sz w:val="24"/>
          <w:szCs w:val="24"/>
          <w:lang w:val="en-US" w:eastAsia="zh-CN" w:bidi="ar-SA"/>
          <w14:textFill>
            <w14:solidFill>
              <w14:schemeClr w14:val="tx1"/>
            </w14:solidFill>
          </w14:textFill>
        </w:rPr>
        <w:t>余姚市牟山镇振华路23号等16套商铺5年的租赁权</w:t>
      </w:r>
    </w:p>
    <w:p w14:paraId="597AAFA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拍卖时间：</w:t>
      </w:r>
      <w:r>
        <w:rPr>
          <w:rFonts w:hint="eastAsia" w:ascii="宋体" w:hAnsi="宋体" w:cs="宋体"/>
          <w:color w:val="000000" w:themeColor="text1"/>
          <w:kern w:val="0"/>
          <w:sz w:val="24"/>
          <w:lang w:val="en-US" w:eastAsia="zh-CN"/>
          <w14:textFill>
            <w14:solidFill>
              <w14:schemeClr w14:val="tx1"/>
            </w14:solidFill>
          </w14:textFill>
        </w:rPr>
        <w:t>2025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7月15日</w:t>
      </w:r>
      <w:r>
        <w:rPr>
          <w:rFonts w:hint="eastAsia" w:ascii="宋体" w:hAnsi="宋体" w:cs="宋体"/>
          <w:color w:val="000000" w:themeColor="text1"/>
          <w:kern w:val="0"/>
          <w:sz w:val="24"/>
          <w14:textFill>
            <w14:solidFill>
              <w14:schemeClr w14:val="tx1"/>
            </w14:solidFill>
          </w14:textFill>
        </w:rPr>
        <w:t>上午</w:t>
      </w:r>
      <w:r>
        <w:rPr>
          <w:rFonts w:hint="eastAsia" w:ascii="宋体" w:hAnsi="宋体" w:cs="宋体"/>
          <w:color w:val="000000" w:themeColor="text1"/>
          <w:kern w:val="0"/>
          <w:sz w:val="24"/>
          <w:lang w:eastAsia="zh-CN"/>
          <w14:textFill>
            <w14:solidFill>
              <w14:schemeClr w14:val="tx1"/>
            </w14:solidFill>
          </w14:textFill>
        </w:rPr>
        <w:t>9:30</w:t>
      </w:r>
    </w:p>
    <w:p w14:paraId="165A58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rPr>
          <w:rFonts w:hint="eastAsia" w:ascii="宋体" w:hAnsi="宋体" w:cs="宋体"/>
          <w:color w:val="auto"/>
          <w:kern w:val="0"/>
          <w:sz w:val="24"/>
          <w:lang w:eastAsia="zh-CN"/>
        </w:rPr>
      </w:pPr>
      <w:r>
        <w:rPr>
          <w:rFonts w:hint="eastAsia" w:ascii="宋体" w:hAnsi="宋体" w:eastAsia="宋体" w:cs="宋体"/>
          <w:b/>
          <w:color w:val="auto"/>
          <w:kern w:val="0"/>
          <w:sz w:val="24"/>
          <w:lang w:eastAsia="zh-CN"/>
        </w:rPr>
        <w:t>拍卖会地点：</w:t>
      </w:r>
      <w:r>
        <w:rPr>
          <w:rFonts w:hint="eastAsia" w:ascii="宋体" w:hAnsi="宋体" w:eastAsia="宋体" w:cs="宋体"/>
          <w:kern w:val="0"/>
          <w:sz w:val="24"/>
        </w:rPr>
        <w:t>余姚市</w:t>
      </w:r>
      <w:r>
        <w:rPr>
          <w:rFonts w:hint="eastAsia" w:ascii="宋体" w:hAnsi="宋体" w:eastAsia="宋体" w:cs="宋体"/>
          <w:kern w:val="0"/>
          <w:sz w:val="24"/>
          <w:lang w:eastAsia="zh-CN"/>
        </w:rPr>
        <w:t>政务服务中心</w:t>
      </w:r>
      <w:r>
        <w:rPr>
          <w:rFonts w:hint="eastAsia" w:ascii="宋体" w:hAnsi="宋体" w:eastAsia="宋体" w:cs="宋体"/>
          <w:sz w:val="24"/>
        </w:rPr>
        <w:t>（谭家岭东路2号）</w:t>
      </w:r>
      <w:r>
        <w:rPr>
          <w:rFonts w:hint="eastAsia" w:ascii="宋体" w:hAnsi="宋体" w:eastAsia="宋体" w:cs="宋体"/>
          <w:kern w:val="0"/>
          <w:sz w:val="24"/>
        </w:rPr>
        <w:t>4楼开标室&lt;</w:t>
      </w:r>
      <w:r>
        <w:rPr>
          <w:rFonts w:hint="eastAsia" w:ascii="宋体" w:hAnsi="宋体" w:eastAsia="宋体" w:cs="宋体"/>
          <w:kern w:val="0"/>
          <w:sz w:val="24"/>
          <w:lang w:val="en-US" w:eastAsia="zh-CN"/>
        </w:rPr>
        <w:t>1</w:t>
      </w:r>
      <w:r>
        <w:rPr>
          <w:rFonts w:hint="eastAsia" w:ascii="宋体" w:hAnsi="宋体" w:eastAsia="宋体" w:cs="宋体"/>
          <w:kern w:val="0"/>
          <w:sz w:val="24"/>
        </w:rPr>
        <w:t>&gt;</w:t>
      </w:r>
    </w:p>
    <w:p w14:paraId="314AA89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2" w:firstLineChars="200"/>
        <w:textAlignment w:val="auto"/>
        <w:rPr>
          <w:rFonts w:hint="eastAsia" w:ascii="宋体" w:hAnsi="宋体" w:eastAsia="宋体" w:cs="宋体"/>
          <w:color w:val="auto"/>
          <w:kern w:val="0"/>
          <w:sz w:val="24"/>
          <w:lang w:eastAsia="zh-CN"/>
        </w:rPr>
      </w:pPr>
      <w:r>
        <w:rPr>
          <w:rFonts w:hint="eastAsia" w:ascii="宋体" w:hAnsi="宋体" w:cs="宋体"/>
          <w:b/>
          <w:color w:val="auto"/>
          <w:kern w:val="0"/>
          <w:sz w:val="24"/>
        </w:rPr>
        <w:t>拍卖方式：</w:t>
      </w:r>
      <w:r>
        <w:rPr>
          <w:rFonts w:hint="eastAsia" w:ascii="宋体" w:hAnsi="宋体" w:cs="宋体"/>
          <w:b w:val="0"/>
          <w:bCs/>
          <w:color w:val="auto"/>
          <w:kern w:val="0"/>
          <w:sz w:val="24"/>
          <w:u w:val="none"/>
          <w:lang w:eastAsia="zh-CN"/>
        </w:rPr>
        <w:t>现场拍卖</w:t>
      </w:r>
    </w:p>
    <w:p w14:paraId="43EB25E5">
      <w:pPr>
        <w:spacing w:after="93" w:afterLines="30" w:line="500" w:lineRule="exact"/>
        <w:rPr>
          <w:rFonts w:ascii="宋体" w:hAnsi="宋体" w:cs="宋体"/>
          <w:b/>
          <w:color w:val="000000" w:themeColor="text1"/>
          <w:kern w:val="0"/>
          <w:sz w:val="24"/>
          <w14:textFill>
            <w14:solidFill>
              <w14:schemeClr w14:val="tx1"/>
            </w14:solidFill>
          </w14:textFill>
        </w:rPr>
      </w:pPr>
    </w:p>
    <w:p w14:paraId="33B15BA0">
      <w:pPr>
        <w:spacing w:after="93" w:afterLines="30" w:line="500" w:lineRule="exact"/>
        <w:ind w:firstLine="283" w:firstLineChars="118"/>
        <w:rPr>
          <w:rFonts w:ascii="宋体" w:hAnsi="宋体"/>
          <w:color w:val="000000" w:themeColor="text1"/>
          <w:sz w:val="24"/>
          <w14:textFill>
            <w14:solidFill>
              <w14:schemeClr w14:val="tx1"/>
            </w14:solidFill>
          </w14:textFill>
        </w:rPr>
      </w:pPr>
    </w:p>
    <w:p w14:paraId="46FD9691">
      <w:pPr>
        <w:spacing w:after="93" w:afterLines="30" w:line="500" w:lineRule="exact"/>
        <w:ind w:firstLine="283" w:firstLineChars="118"/>
        <w:rPr>
          <w:rFonts w:ascii="宋体" w:hAnsi="宋体"/>
          <w:color w:val="000000" w:themeColor="text1"/>
          <w:sz w:val="24"/>
          <w14:textFill>
            <w14:solidFill>
              <w14:schemeClr w14:val="tx1"/>
            </w14:solidFill>
          </w14:textFill>
        </w:rPr>
      </w:pPr>
    </w:p>
    <w:p w14:paraId="20107479">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480" w:firstLineChars="20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公司地址：浙江省</w:t>
      </w:r>
      <w:r>
        <w:rPr>
          <w:rFonts w:hint="eastAsia" w:ascii="宋体" w:hAnsi="宋体"/>
          <w:color w:val="000000" w:themeColor="text1"/>
          <w:sz w:val="24"/>
          <w:lang w:eastAsia="zh-CN"/>
          <w14:textFill>
            <w14:solidFill>
              <w14:schemeClr w14:val="tx1"/>
            </w14:solidFill>
          </w14:textFill>
        </w:rPr>
        <w:t>余姚市谭家岭东路2号南雷大厦29楼</w:t>
      </w:r>
    </w:p>
    <w:p w14:paraId="74A40667">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480" w:firstLineChars="200"/>
        <w:textAlignment w:val="auto"/>
        <w:rPr>
          <w:rFonts w:ascii="宋体" w:hAnsi="宋体"/>
          <w:b/>
          <w:color w:val="000000" w:themeColor="text1"/>
          <w:sz w:val="44"/>
          <w:szCs w:val="44"/>
          <w14:textFill>
            <w14:solidFill>
              <w14:schemeClr w14:val="tx1"/>
            </w14:solidFill>
          </w14:textFill>
        </w:rPr>
      </w:pPr>
      <w:r>
        <w:rPr>
          <w:rFonts w:hint="eastAsia" w:ascii="宋体" w:hAnsi="宋体"/>
          <w:color w:val="000000" w:themeColor="text1"/>
          <w:sz w:val="24"/>
          <w14:textFill>
            <w14:solidFill>
              <w14:schemeClr w14:val="tx1"/>
            </w14:solidFill>
          </w14:textFill>
        </w:rPr>
        <w:t>公司电话：0574-</w:t>
      </w:r>
      <w:r>
        <w:rPr>
          <w:rFonts w:hint="eastAsia" w:ascii="宋体" w:hAnsi="宋体"/>
          <w:color w:val="000000" w:themeColor="text1"/>
          <w:sz w:val="24"/>
          <w:lang w:eastAsia="zh-CN"/>
          <w14:textFill>
            <w14:solidFill>
              <w14:schemeClr w14:val="tx1"/>
            </w14:solidFill>
          </w14:textFill>
        </w:rPr>
        <w:t>62651915</w:t>
      </w:r>
      <w:r>
        <w:rPr>
          <w:rFonts w:hint="eastAsia" w:ascii="宋体" w:hAnsi="宋体"/>
          <w:color w:val="000000" w:themeColor="text1"/>
          <w:sz w:val="24"/>
          <w14:textFill>
            <w14:solidFill>
              <w14:schemeClr w14:val="tx1"/>
            </w14:solidFill>
          </w14:textFill>
        </w:rPr>
        <w:t>、6</w:t>
      </w:r>
      <w:r>
        <w:rPr>
          <w:rFonts w:hint="eastAsia" w:ascii="宋体" w:hAnsi="宋体"/>
          <w:color w:val="000000" w:themeColor="text1"/>
          <w:sz w:val="24"/>
          <w:lang w:val="en-US" w:eastAsia="zh-CN"/>
          <w14:textFill>
            <w14:solidFill>
              <w14:schemeClr w14:val="tx1"/>
            </w14:solidFill>
          </w14:textFill>
        </w:rPr>
        <w:t>27</w:t>
      </w:r>
      <w:r>
        <w:rPr>
          <w:rFonts w:hint="eastAsia" w:ascii="宋体" w:hAnsi="宋体"/>
          <w:color w:val="000000" w:themeColor="text1"/>
          <w:sz w:val="24"/>
          <w14:textFill>
            <w14:solidFill>
              <w14:schemeClr w14:val="tx1"/>
            </w14:solidFill>
          </w14:textFill>
        </w:rPr>
        <w:t>24638       传真：0574-62651961</w:t>
      </w:r>
    </w:p>
    <w:p w14:paraId="6B4022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44"/>
          <w:szCs w:val="44"/>
          <w14:textFill>
            <w14:solidFill>
              <w14:schemeClr w14:val="tx1"/>
            </w14:solidFill>
          </w14:textFill>
        </w:rPr>
      </w:pPr>
    </w:p>
    <w:p w14:paraId="4261DA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44"/>
          <w:szCs w:val="44"/>
          <w14:textFill>
            <w14:solidFill>
              <w14:schemeClr w14:val="tx1"/>
            </w14:solidFill>
          </w14:textFill>
        </w:rPr>
      </w:pPr>
    </w:p>
    <w:p w14:paraId="42C14E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拍  卖  须  知</w:t>
      </w:r>
    </w:p>
    <w:p w14:paraId="326C2C30">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总 则</w:t>
      </w:r>
    </w:p>
    <w:p w14:paraId="4A62A33F">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w:t>
      </w:r>
      <w:r>
        <w:rPr>
          <w:rFonts w:hint="eastAsia" w:ascii="宋体" w:hAnsi="宋体"/>
          <w:color w:val="000000" w:themeColor="text1"/>
          <w:sz w:val="24"/>
          <w14:textFill>
            <w14:solidFill>
              <w14:schemeClr w14:val="tx1"/>
            </w14:solidFill>
          </w14:textFill>
        </w:rPr>
        <w:t xml:space="preserve">  本《拍卖须知》根据《中华人民共和国拍卖法》及相关法律法规、规章，参照国际通行惯例制定。</w:t>
      </w:r>
    </w:p>
    <w:p w14:paraId="6801811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w:t>
      </w:r>
      <w:r>
        <w:rPr>
          <w:rFonts w:hint="eastAsia" w:ascii="宋体" w:hAnsi="宋体"/>
          <w:color w:val="000000" w:themeColor="text1"/>
          <w:sz w:val="24"/>
          <w14:textFill>
            <w14:solidFill>
              <w14:schemeClr w14:val="tx1"/>
            </w14:solidFill>
          </w14:textFill>
        </w:rPr>
        <w:t xml:space="preserve">  宁波阳明拍卖有限公司（以下简称“拍卖人”）将依法组织和开展拍卖活动，参加拍卖活动的竞买人必须仔细阅读并遵守本《拍卖须知》及其它相关文件，并对自己执行本《拍卖须知》的行为负责。</w:t>
      </w:r>
    </w:p>
    <w:p w14:paraId="2F0EEFD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第三条  </w:t>
      </w:r>
      <w:r>
        <w:rPr>
          <w:rFonts w:hint="eastAsia" w:ascii="宋体" w:hAnsi="宋体"/>
          <w:color w:val="000000" w:themeColor="text1"/>
          <w:sz w:val="24"/>
          <w14:textFill>
            <w14:solidFill>
              <w14:schemeClr w14:val="tx1"/>
            </w14:solidFill>
          </w14:textFill>
        </w:rPr>
        <w:t>拍卖人有权在本《拍卖须知》的基础上，根据公开、公平、公正、诚实信用的原则解释和处理本《拍卖须知》以外的特殊问题和未尽事宜。</w:t>
      </w:r>
    </w:p>
    <w:p w14:paraId="761FE697">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拍卖标的</w:t>
      </w:r>
    </w:p>
    <w:p w14:paraId="0111EF1B">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拍卖标的</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186"/>
        <w:gridCol w:w="1590"/>
        <w:gridCol w:w="1287"/>
        <w:gridCol w:w="1273"/>
        <w:gridCol w:w="1258"/>
        <w:gridCol w:w="1026"/>
        <w:gridCol w:w="733"/>
      </w:tblGrid>
      <w:tr w14:paraId="2EEE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67" w:type="pct"/>
            <w:noWrap w:val="0"/>
            <w:vAlign w:val="center"/>
          </w:tcPr>
          <w:p w14:paraId="7A944105">
            <w:pPr>
              <w:keepNext w:val="0"/>
              <w:keepLines w:val="0"/>
              <w:pageBreakBefore w:val="0"/>
              <w:kinsoku/>
              <w:wordWrap/>
              <w:overflowPunct/>
              <w:topLinePunct w:val="0"/>
              <w:autoSpaceDE/>
              <w:autoSpaceDN/>
              <w:bidi w:val="0"/>
              <w:adjustRightInd/>
              <w:snapToGrid/>
              <w:spacing w:line="460" w:lineRule="exact"/>
              <w:ind w:left="-178" w:leftChars="-85" w:right="-107" w:rightChars="-51"/>
              <w:jc w:val="center"/>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标的</w:t>
            </w:r>
            <w:r>
              <w:rPr>
                <w:rFonts w:hint="eastAsia" w:ascii="宋体" w:hAnsi="宋体" w:eastAsia="宋体" w:cs="宋体"/>
                <w:b/>
                <w:bCs/>
                <w:color w:val="000000" w:themeColor="text1"/>
                <w:sz w:val="21"/>
                <w:szCs w:val="21"/>
                <w:lang w:eastAsia="zh-CN"/>
                <w14:textFill>
                  <w14:solidFill>
                    <w14:schemeClr w14:val="tx1"/>
                  </w14:solidFill>
                </w14:textFill>
              </w:rPr>
              <w:t>物</w:t>
            </w:r>
          </w:p>
        </w:tc>
        <w:tc>
          <w:tcPr>
            <w:tcW w:w="1082" w:type="pct"/>
            <w:noWrap w:val="0"/>
            <w:vAlign w:val="center"/>
          </w:tcPr>
          <w:p w14:paraId="2B7CEC9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坐 落</w:t>
            </w:r>
          </w:p>
        </w:tc>
        <w:tc>
          <w:tcPr>
            <w:tcW w:w="787" w:type="pct"/>
            <w:noWrap w:val="0"/>
            <w:vAlign w:val="center"/>
          </w:tcPr>
          <w:p w14:paraId="1FB0D737">
            <w:pPr>
              <w:keepNext w:val="0"/>
              <w:keepLines w:val="0"/>
              <w:pageBreakBefore w:val="0"/>
              <w:kinsoku/>
              <w:wordWrap/>
              <w:overflowPunct/>
              <w:topLinePunct w:val="0"/>
              <w:autoSpaceDE/>
              <w:autoSpaceDN/>
              <w:bidi w:val="0"/>
              <w:adjustRightInd/>
              <w:snapToGrid/>
              <w:spacing w:line="460" w:lineRule="exact"/>
              <w:ind w:left="125" w:leftChars="-51" w:right="-107" w:rightChars="-51" w:hanging="232" w:hangingChars="11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出租</w:t>
            </w:r>
            <w:r>
              <w:rPr>
                <w:rFonts w:hint="eastAsia" w:ascii="宋体" w:hAnsi="宋体" w:eastAsia="宋体" w:cs="宋体"/>
                <w:b/>
                <w:bCs/>
                <w:color w:val="000000" w:themeColor="text1"/>
                <w:sz w:val="21"/>
                <w:szCs w:val="21"/>
                <w14:textFill>
                  <w14:solidFill>
                    <w14:schemeClr w14:val="tx1"/>
                  </w14:solidFill>
                </w14:textFill>
              </w:rPr>
              <w:t>面积</w:t>
            </w:r>
          </w:p>
          <w:p w14:paraId="7A818A5D">
            <w:pPr>
              <w:keepNext w:val="0"/>
              <w:keepLines w:val="0"/>
              <w:pageBreakBefore w:val="0"/>
              <w:kinsoku/>
              <w:wordWrap/>
              <w:overflowPunct/>
              <w:topLinePunct w:val="0"/>
              <w:autoSpaceDE/>
              <w:autoSpaceDN/>
              <w:bidi w:val="0"/>
              <w:adjustRightInd/>
              <w:snapToGrid/>
              <w:spacing w:line="460" w:lineRule="exact"/>
              <w:ind w:left="-95" w:leftChars="-67" w:right="-107" w:rightChars="-51" w:hanging="46" w:hangingChars="22"/>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（平方米）</w:t>
            </w:r>
          </w:p>
        </w:tc>
        <w:tc>
          <w:tcPr>
            <w:tcW w:w="637" w:type="pct"/>
            <w:noWrap w:val="0"/>
            <w:vAlign w:val="center"/>
          </w:tcPr>
          <w:p w14:paraId="05B1CFC8">
            <w:pPr>
              <w:keepNext w:val="0"/>
              <w:keepLines w:val="0"/>
              <w:pageBreakBefore w:val="0"/>
              <w:kinsoku/>
              <w:wordWrap/>
              <w:overflowPunct/>
              <w:topLinePunct w:val="0"/>
              <w:autoSpaceDE/>
              <w:autoSpaceDN/>
              <w:bidi w:val="0"/>
              <w:adjustRightInd/>
              <w:snapToGrid/>
              <w:spacing w:line="460" w:lineRule="exact"/>
              <w:ind w:left="-2" w:leftChars="-51" w:right="-107" w:rightChars="-51" w:hanging="105" w:hangingChars="5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出租年限</w:t>
            </w:r>
          </w:p>
          <w:p w14:paraId="13BCB15A">
            <w:pPr>
              <w:keepNext w:val="0"/>
              <w:keepLines w:val="0"/>
              <w:pageBreakBefore w:val="0"/>
              <w:kinsoku/>
              <w:wordWrap/>
              <w:overflowPunct/>
              <w:topLinePunct w:val="0"/>
              <w:autoSpaceDE/>
              <w:autoSpaceDN/>
              <w:bidi w:val="0"/>
              <w:adjustRightInd/>
              <w:snapToGrid/>
              <w:spacing w:line="460" w:lineRule="exact"/>
              <w:ind w:left="-17" w:leftChars="-8" w:firstLine="105" w:firstLineChars="5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（年）</w:t>
            </w:r>
          </w:p>
        </w:tc>
        <w:tc>
          <w:tcPr>
            <w:tcW w:w="630" w:type="pct"/>
            <w:noWrap w:val="0"/>
            <w:vAlign w:val="center"/>
          </w:tcPr>
          <w:p w14:paraId="59197423">
            <w:pPr>
              <w:keepNext w:val="0"/>
              <w:keepLines w:val="0"/>
              <w:pageBreakBefore w:val="0"/>
              <w:kinsoku/>
              <w:wordWrap/>
              <w:overflowPunct/>
              <w:topLinePunct w:val="0"/>
              <w:autoSpaceDE/>
              <w:autoSpaceDN/>
              <w:bidi w:val="0"/>
              <w:adjustRightInd/>
              <w:snapToGrid/>
              <w:spacing w:line="460" w:lineRule="exact"/>
              <w:ind w:left="-17" w:leftChars="-8" w:firstLine="105" w:firstLineChars="5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起拍价</w:t>
            </w:r>
          </w:p>
          <w:p w14:paraId="75F8CB2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（元/年）</w:t>
            </w:r>
          </w:p>
        </w:tc>
        <w:tc>
          <w:tcPr>
            <w:tcW w:w="623" w:type="pct"/>
            <w:noWrap w:val="0"/>
            <w:vAlign w:val="center"/>
          </w:tcPr>
          <w:p w14:paraId="21811B8E">
            <w:pPr>
              <w:keepNext w:val="0"/>
              <w:keepLines w:val="0"/>
              <w:pageBreakBefore w:val="0"/>
              <w:kinsoku/>
              <w:wordWrap/>
              <w:overflowPunct/>
              <w:topLinePunct w:val="0"/>
              <w:autoSpaceDE/>
              <w:autoSpaceDN/>
              <w:bidi w:val="0"/>
              <w:adjustRightInd/>
              <w:snapToGrid/>
              <w:spacing w:line="460" w:lineRule="exact"/>
              <w:ind w:left="230" w:leftChars="-51" w:right="-107" w:rightChars="-51" w:hanging="337" w:hangingChars="16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竞买保证金</w:t>
            </w:r>
          </w:p>
          <w:p w14:paraId="47EE7941">
            <w:pPr>
              <w:keepNext w:val="0"/>
              <w:keepLines w:val="0"/>
              <w:pageBreakBefore w:val="0"/>
              <w:kinsoku/>
              <w:wordWrap/>
              <w:overflowPunct/>
              <w:topLinePunct w:val="0"/>
              <w:autoSpaceDE/>
              <w:autoSpaceDN/>
              <w:bidi w:val="0"/>
              <w:adjustRightInd/>
              <w:snapToGrid/>
              <w:spacing w:line="460" w:lineRule="exact"/>
              <w:ind w:left="181" w:leftChars="86"/>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（元）</w:t>
            </w:r>
          </w:p>
        </w:tc>
        <w:tc>
          <w:tcPr>
            <w:tcW w:w="508" w:type="pct"/>
            <w:noWrap w:val="0"/>
            <w:vAlign w:val="center"/>
          </w:tcPr>
          <w:p w14:paraId="61CACA5B">
            <w:pPr>
              <w:keepNext w:val="0"/>
              <w:keepLines w:val="0"/>
              <w:pageBreakBefore w:val="0"/>
              <w:kinsoku/>
              <w:wordWrap/>
              <w:overflowPunct/>
              <w:topLinePunct w:val="0"/>
              <w:autoSpaceDE/>
              <w:autoSpaceDN/>
              <w:bidi w:val="0"/>
              <w:adjustRightInd/>
              <w:snapToGrid/>
              <w:spacing w:line="460" w:lineRule="exact"/>
              <w:ind w:left="-107" w:leftChars="-52" w:right="-107" w:rightChars="-51" w:hanging="2" w:hangingChars="1"/>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证载</w:t>
            </w:r>
            <w:r>
              <w:rPr>
                <w:rFonts w:hint="eastAsia" w:ascii="宋体" w:hAnsi="宋体" w:eastAsia="宋体" w:cs="宋体"/>
                <w:b/>
                <w:bCs/>
                <w:color w:val="000000" w:themeColor="text1"/>
                <w:sz w:val="21"/>
                <w:szCs w:val="21"/>
                <w14:textFill>
                  <w14:solidFill>
                    <w14:schemeClr w14:val="tx1"/>
                  </w14:solidFill>
                </w14:textFill>
              </w:rPr>
              <w:t>用途</w:t>
            </w:r>
          </w:p>
        </w:tc>
        <w:tc>
          <w:tcPr>
            <w:tcW w:w="363" w:type="pct"/>
            <w:noWrap w:val="0"/>
            <w:vAlign w:val="center"/>
          </w:tcPr>
          <w:p w14:paraId="198CBDDF">
            <w:pPr>
              <w:keepNext w:val="0"/>
              <w:keepLines w:val="0"/>
              <w:pageBreakBefore w:val="0"/>
              <w:widowControl/>
              <w:kinsoku/>
              <w:wordWrap/>
              <w:overflowPunct/>
              <w:topLinePunct w:val="0"/>
              <w:autoSpaceDE/>
              <w:autoSpaceDN/>
              <w:bidi w:val="0"/>
              <w:adjustRightInd/>
              <w:snapToGrid/>
              <w:spacing w:line="460" w:lineRule="exact"/>
              <w:ind w:left="19" w:leftChars="-51" w:right="-101" w:rightChars="-48" w:hanging="126" w:hangingChars="6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现状</w:t>
            </w:r>
          </w:p>
        </w:tc>
      </w:tr>
      <w:tr w14:paraId="17D7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3053BFF4">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w:t>
            </w:r>
          </w:p>
        </w:tc>
        <w:tc>
          <w:tcPr>
            <w:tcW w:w="1082" w:type="pct"/>
            <w:noWrap w:val="0"/>
            <w:vAlign w:val="center"/>
          </w:tcPr>
          <w:p w14:paraId="4E109AE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振华路23号</w:t>
            </w:r>
          </w:p>
        </w:tc>
        <w:tc>
          <w:tcPr>
            <w:tcW w:w="787" w:type="pct"/>
            <w:noWrap w:val="0"/>
            <w:vAlign w:val="center"/>
          </w:tcPr>
          <w:p w14:paraId="75C664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 xml:space="preserve">169.44 </w:t>
            </w:r>
          </w:p>
        </w:tc>
        <w:tc>
          <w:tcPr>
            <w:tcW w:w="637" w:type="pct"/>
            <w:vMerge w:val="restart"/>
            <w:noWrap w:val="0"/>
            <w:vAlign w:val="center"/>
          </w:tcPr>
          <w:p w14:paraId="50281C6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p w14:paraId="5A8F3AB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p>
          <w:p w14:paraId="1D362E4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p>
          <w:p w14:paraId="7611D75E">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c>
          <w:tcPr>
            <w:tcW w:w="630" w:type="pct"/>
            <w:noWrap w:val="0"/>
            <w:vAlign w:val="center"/>
          </w:tcPr>
          <w:p w14:paraId="27EDFA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 xml:space="preserve">34400 </w:t>
            </w:r>
          </w:p>
        </w:tc>
        <w:tc>
          <w:tcPr>
            <w:tcW w:w="623" w:type="pct"/>
            <w:noWrap w:val="0"/>
            <w:vAlign w:val="center"/>
          </w:tcPr>
          <w:p w14:paraId="78F520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5000</w:t>
            </w:r>
          </w:p>
        </w:tc>
        <w:tc>
          <w:tcPr>
            <w:tcW w:w="508" w:type="pct"/>
            <w:vMerge w:val="restart"/>
            <w:noWrap w:val="0"/>
            <w:vAlign w:val="center"/>
          </w:tcPr>
          <w:p w14:paraId="442D3A95">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商业</w:t>
            </w:r>
          </w:p>
        </w:tc>
        <w:tc>
          <w:tcPr>
            <w:tcW w:w="363" w:type="pct"/>
            <w:vMerge w:val="restart"/>
            <w:noWrap w:val="0"/>
            <w:vAlign w:val="center"/>
          </w:tcPr>
          <w:p w14:paraId="0DD8EDF6">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空置</w:t>
            </w:r>
          </w:p>
        </w:tc>
      </w:tr>
      <w:tr w14:paraId="1737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52A85391">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2</w:t>
            </w:r>
          </w:p>
        </w:tc>
        <w:tc>
          <w:tcPr>
            <w:tcW w:w="1082" w:type="pct"/>
            <w:noWrap w:val="0"/>
            <w:vAlign w:val="center"/>
          </w:tcPr>
          <w:p w14:paraId="1E9831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振华路24号</w:t>
            </w:r>
          </w:p>
        </w:tc>
        <w:tc>
          <w:tcPr>
            <w:tcW w:w="787" w:type="pct"/>
            <w:noWrap w:val="0"/>
            <w:vAlign w:val="center"/>
          </w:tcPr>
          <w:p w14:paraId="3CC4C30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 xml:space="preserve">115.36 </w:t>
            </w:r>
          </w:p>
        </w:tc>
        <w:tc>
          <w:tcPr>
            <w:tcW w:w="637" w:type="pct"/>
            <w:vMerge w:val="continue"/>
            <w:noWrap w:val="0"/>
            <w:vAlign w:val="center"/>
          </w:tcPr>
          <w:p w14:paraId="4F47E1D0">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noWrap w:val="0"/>
            <w:vAlign w:val="center"/>
          </w:tcPr>
          <w:p w14:paraId="6A0BA1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 xml:space="preserve">23400 </w:t>
            </w:r>
          </w:p>
        </w:tc>
        <w:tc>
          <w:tcPr>
            <w:tcW w:w="623" w:type="pct"/>
            <w:noWrap w:val="0"/>
            <w:vAlign w:val="center"/>
          </w:tcPr>
          <w:p w14:paraId="4DE35E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624A4426">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604D2BA8">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7061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0F7D09FE">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3</w:t>
            </w:r>
          </w:p>
        </w:tc>
        <w:tc>
          <w:tcPr>
            <w:tcW w:w="1082" w:type="pct"/>
            <w:noWrap w:val="0"/>
            <w:vAlign w:val="center"/>
          </w:tcPr>
          <w:p w14:paraId="09C6850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振华路25号</w:t>
            </w:r>
          </w:p>
        </w:tc>
        <w:tc>
          <w:tcPr>
            <w:tcW w:w="787" w:type="pct"/>
            <w:noWrap w:val="0"/>
            <w:vAlign w:val="center"/>
          </w:tcPr>
          <w:p w14:paraId="261EB7B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 xml:space="preserve">120.05 </w:t>
            </w:r>
          </w:p>
        </w:tc>
        <w:tc>
          <w:tcPr>
            <w:tcW w:w="637" w:type="pct"/>
            <w:vMerge w:val="continue"/>
            <w:noWrap w:val="0"/>
            <w:vAlign w:val="center"/>
          </w:tcPr>
          <w:p w14:paraId="01B03606">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noWrap w:val="0"/>
            <w:vAlign w:val="center"/>
          </w:tcPr>
          <w:p w14:paraId="4263A4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 xml:space="preserve">24400 </w:t>
            </w:r>
          </w:p>
        </w:tc>
        <w:tc>
          <w:tcPr>
            <w:tcW w:w="623" w:type="pct"/>
            <w:noWrap w:val="0"/>
            <w:vAlign w:val="center"/>
          </w:tcPr>
          <w:p w14:paraId="1FCDE5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7FD6BB69">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4D0AF88F">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4C63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10B4799B">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4</w:t>
            </w:r>
          </w:p>
        </w:tc>
        <w:tc>
          <w:tcPr>
            <w:tcW w:w="1082" w:type="pct"/>
            <w:noWrap w:val="0"/>
            <w:vAlign w:val="center"/>
          </w:tcPr>
          <w:p w14:paraId="5D82AF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振华路26号</w:t>
            </w:r>
          </w:p>
        </w:tc>
        <w:tc>
          <w:tcPr>
            <w:tcW w:w="787" w:type="pct"/>
            <w:noWrap w:val="0"/>
            <w:vAlign w:val="center"/>
          </w:tcPr>
          <w:p w14:paraId="02571EA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0"/>
                <w:sz w:val="21"/>
                <w:szCs w:val="21"/>
                <w:highlight w:val="none"/>
                <w:lang w:val="en-US" w:eastAsia="zh-CN"/>
              </w:rPr>
              <w:t xml:space="preserve">120.49 </w:t>
            </w:r>
          </w:p>
        </w:tc>
        <w:tc>
          <w:tcPr>
            <w:tcW w:w="637" w:type="pct"/>
            <w:vMerge w:val="continue"/>
            <w:noWrap w:val="0"/>
            <w:vAlign w:val="center"/>
          </w:tcPr>
          <w:p w14:paraId="16F4E610">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noWrap w:val="0"/>
            <w:vAlign w:val="center"/>
          </w:tcPr>
          <w:p w14:paraId="3A76444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 xml:space="preserve">22600 </w:t>
            </w:r>
          </w:p>
        </w:tc>
        <w:tc>
          <w:tcPr>
            <w:tcW w:w="623" w:type="pct"/>
            <w:noWrap w:val="0"/>
            <w:vAlign w:val="center"/>
          </w:tcPr>
          <w:p w14:paraId="28D74E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5916E103">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0A1C878F">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49F0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69E2BA98">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5</w:t>
            </w:r>
          </w:p>
        </w:tc>
        <w:tc>
          <w:tcPr>
            <w:tcW w:w="1082" w:type="pct"/>
            <w:shd w:val="clear" w:color="auto" w:fill="auto"/>
            <w:noWrap w:val="0"/>
            <w:vAlign w:val="center"/>
          </w:tcPr>
          <w:p w14:paraId="31D2108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28</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683E926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 xml:space="preserve">159.38 </w:t>
            </w:r>
          </w:p>
        </w:tc>
        <w:tc>
          <w:tcPr>
            <w:tcW w:w="637" w:type="pct"/>
            <w:vMerge w:val="continue"/>
            <w:shd w:val="clear" w:color="auto" w:fill="auto"/>
            <w:noWrap w:val="0"/>
            <w:vAlign w:val="center"/>
          </w:tcPr>
          <w:p w14:paraId="65E299EE">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27B0783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29900 </w:t>
            </w:r>
          </w:p>
        </w:tc>
        <w:tc>
          <w:tcPr>
            <w:tcW w:w="623" w:type="pct"/>
            <w:shd w:val="clear" w:color="auto" w:fill="auto"/>
            <w:noWrap w:val="0"/>
            <w:vAlign w:val="center"/>
          </w:tcPr>
          <w:p w14:paraId="0C39334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7F64C2BE">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351657CF">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74A7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3B208E11">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6</w:t>
            </w:r>
          </w:p>
        </w:tc>
        <w:tc>
          <w:tcPr>
            <w:tcW w:w="1082" w:type="pct"/>
            <w:shd w:val="clear" w:color="auto" w:fill="auto"/>
            <w:noWrap w:val="0"/>
            <w:vAlign w:val="center"/>
          </w:tcPr>
          <w:p w14:paraId="70D0C0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29</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0818DD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 xml:space="preserve">245.46 </w:t>
            </w:r>
          </w:p>
        </w:tc>
        <w:tc>
          <w:tcPr>
            <w:tcW w:w="637" w:type="pct"/>
            <w:vMerge w:val="continue"/>
            <w:noWrap w:val="0"/>
            <w:vAlign w:val="center"/>
          </w:tcPr>
          <w:p w14:paraId="61F0982B">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5F77CE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46100 </w:t>
            </w:r>
          </w:p>
        </w:tc>
        <w:tc>
          <w:tcPr>
            <w:tcW w:w="623" w:type="pct"/>
            <w:shd w:val="clear" w:color="auto" w:fill="auto"/>
            <w:noWrap w:val="0"/>
            <w:vAlign w:val="center"/>
          </w:tcPr>
          <w:p w14:paraId="23F929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0185C835">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200FE6AF">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45BE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5037444A">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7</w:t>
            </w:r>
          </w:p>
        </w:tc>
        <w:tc>
          <w:tcPr>
            <w:tcW w:w="1082" w:type="pct"/>
            <w:shd w:val="clear" w:color="auto" w:fill="auto"/>
            <w:noWrap w:val="0"/>
            <w:vAlign w:val="center"/>
          </w:tcPr>
          <w:p w14:paraId="0E1C02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31</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07182C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174.39 </w:t>
            </w:r>
          </w:p>
        </w:tc>
        <w:tc>
          <w:tcPr>
            <w:tcW w:w="637" w:type="pct"/>
            <w:vMerge w:val="continue"/>
            <w:noWrap w:val="0"/>
            <w:vAlign w:val="center"/>
          </w:tcPr>
          <w:p w14:paraId="40A854B6">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30BB4E6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31800 </w:t>
            </w:r>
          </w:p>
        </w:tc>
        <w:tc>
          <w:tcPr>
            <w:tcW w:w="623" w:type="pct"/>
            <w:shd w:val="clear" w:color="auto" w:fill="auto"/>
            <w:noWrap w:val="0"/>
            <w:vAlign w:val="center"/>
          </w:tcPr>
          <w:p w14:paraId="0AFB18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1507D5DD">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209A5D34">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7759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3AC90E25">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8</w:t>
            </w:r>
          </w:p>
        </w:tc>
        <w:tc>
          <w:tcPr>
            <w:tcW w:w="1082" w:type="pct"/>
            <w:shd w:val="clear" w:color="auto" w:fill="auto"/>
            <w:noWrap w:val="0"/>
            <w:vAlign w:val="center"/>
          </w:tcPr>
          <w:p w14:paraId="4C907AE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32</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0F63415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40.72 </w:t>
            </w:r>
          </w:p>
        </w:tc>
        <w:tc>
          <w:tcPr>
            <w:tcW w:w="637" w:type="pct"/>
            <w:vMerge w:val="continue"/>
            <w:noWrap w:val="0"/>
            <w:vAlign w:val="center"/>
          </w:tcPr>
          <w:p w14:paraId="640FAC0C">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06F6F4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8400 </w:t>
            </w:r>
          </w:p>
        </w:tc>
        <w:tc>
          <w:tcPr>
            <w:tcW w:w="623" w:type="pct"/>
            <w:shd w:val="clear" w:color="auto" w:fill="auto"/>
            <w:noWrap w:val="0"/>
            <w:vAlign w:val="center"/>
          </w:tcPr>
          <w:p w14:paraId="0ABDDDF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2D803E4E">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07C4E023">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763B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31D355E5">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9</w:t>
            </w:r>
          </w:p>
        </w:tc>
        <w:tc>
          <w:tcPr>
            <w:tcW w:w="1082" w:type="pct"/>
            <w:shd w:val="clear" w:color="auto" w:fill="auto"/>
            <w:noWrap w:val="0"/>
            <w:vAlign w:val="center"/>
          </w:tcPr>
          <w:p w14:paraId="1929453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33</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303D4E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124.03 </w:t>
            </w:r>
          </w:p>
        </w:tc>
        <w:tc>
          <w:tcPr>
            <w:tcW w:w="637" w:type="pct"/>
            <w:vMerge w:val="continue"/>
            <w:noWrap w:val="0"/>
            <w:vAlign w:val="center"/>
          </w:tcPr>
          <w:p w14:paraId="1D6947A2">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77FD68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22600 </w:t>
            </w:r>
          </w:p>
        </w:tc>
        <w:tc>
          <w:tcPr>
            <w:tcW w:w="623" w:type="pct"/>
            <w:shd w:val="clear" w:color="auto" w:fill="auto"/>
            <w:noWrap w:val="0"/>
            <w:vAlign w:val="center"/>
          </w:tcPr>
          <w:p w14:paraId="0B3CF6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21C872F3">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7C6D809C">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682B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67A8995D">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10</w:t>
            </w:r>
          </w:p>
        </w:tc>
        <w:tc>
          <w:tcPr>
            <w:tcW w:w="1082" w:type="pct"/>
            <w:shd w:val="clear" w:color="auto" w:fill="auto"/>
            <w:noWrap w:val="0"/>
            <w:vAlign w:val="center"/>
          </w:tcPr>
          <w:p w14:paraId="77B52B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36</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0014C2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110.39 </w:t>
            </w:r>
          </w:p>
        </w:tc>
        <w:tc>
          <w:tcPr>
            <w:tcW w:w="637" w:type="pct"/>
            <w:vMerge w:val="continue"/>
            <w:shd w:val="clear" w:color="auto" w:fill="auto"/>
            <w:noWrap w:val="0"/>
            <w:vAlign w:val="center"/>
          </w:tcPr>
          <w:p w14:paraId="00BF3152">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03ED13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19000 </w:t>
            </w:r>
          </w:p>
        </w:tc>
        <w:tc>
          <w:tcPr>
            <w:tcW w:w="623" w:type="pct"/>
            <w:shd w:val="clear" w:color="auto" w:fill="auto"/>
            <w:noWrap w:val="0"/>
            <w:vAlign w:val="center"/>
          </w:tcPr>
          <w:p w14:paraId="30AD308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6DADCBE9">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5B7EFA47">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27F6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53F3F78E">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11</w:t>
            </w:r>
          </w:p>
        </w:tc>
        <w:tc>
          <w:tcPr>
            <w:tcW w:w="1082" w:type="pct"/>
            <w:shd w:val="clear" w:color="auto" w:fill="auto"/>
            <w:noWrap w:val="0"/>
            <w:vAlign w:val="center"/>
          </w:tcPr>
          <w:p w14:paraId="2EFE20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37</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24812B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90.52 </w:t>
            </w:r>
          </w:p>
        </w:tc>
        <w:tc>
          <w:tcPr>
            <w:tcW w:w="637" w:type="pct"/>
            <w:vMerge w:val="continue"/>
            <w:noWrap w:val="0"/>
            <w:vAlign w:val="center"/>
          </w:tcPr>
          <w:p w14:paraId="0CC8DE3E">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61CB39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15600 </w:t>
            </w:r>
          </w:p>
        </w:tc>
        <w:tc>
          <w:tcPr>
            <w:tcW w:w="623" w:type="pct"/>
            <w:shd w:val="clear" w:color="auto" w:fill="auto"/>
            <w:noWrap w:val="0"/>
            <w:vAlign w:val="center"/>
          </w:tcPr>
          <w:p w14:paraId="4C5A33B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446BED52">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00FB1033">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640B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2FDE49C1">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12</w:t>
            </w:r>
          </w:p>
        </w:tc>
        <w:tc>
          <w:tcPr>
            <w:tcW w:w="1082" w:type="pct"/>
            <w:shd w:val="clear" w:color="auto" w:fill="auto"/>
            <w:noWrap w:val="0"/>
            <w:vAlign w:val="center"/>
          </w:tcPr>
          <w:p w14:paraId="1E5258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38</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483DE7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165.77 </w:t>
            </w:r>
          </w:p>
        </w:tc>
        <w:tc>
          <w:tcPr>
            <w:tcW w:w="637" w:type="pct"/>
            <w:vMerge w:val="continue"/>
            <w:noWrap w:val="0"/>
            <w:vAlign w:val="center"/>
          </w:tcPr>
          <w:p w14:paraId="2A5C2D5B">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211E89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26100 </w:t>
            </w:r>
          </w:p>
        </w:tc>
        <w:tc>
          <w:tcPr>
            <w:tcW w:w="623" w:type="pct"/>
            <w:shd w:val="clear" w:color="auto" w:fill="auto"/>
            <w:noWrap w:val="0"/>
            <w:vAlign w:val="center"/>
          </w:tcPr>
          <w:p w14:paraId="2E1827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419F7B2F">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6C66B4EE">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69B7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06E0506E">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13</w:t>
            </w:r>
          </w:p>
        </w:tc>
        <w:tc>
          <w:tcPr>
            <w:tcW w:w="1082" w:type="pct"/>
            <w:shd w:val="clear" w:color="auto" w:fill="auto"/>
            <w:noWrap w:val="0"/>
            <w:vAlign w:val="center"/>
          </w:tcPr>
          <w:p w14:paraId="1B0E12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振华路</w:t>
            </w:r>
            <w:r>
              <w:rPr>
                <w:rFonts w:hint="default" w:ascii="宋体" w:hAnsi="宋体" w:eastAsia="宋体" w:cs="宋体"/>
                <w:color w:val="000000"/>
                <w:kern w:val="0"/>
                <w:sz w:val="21"/>
                <w:szCs w:val="21"/>
                <w:highlight w:val="none"/>
                <w:lang w:val="en-US" w:eastAsia="zh-CN"/>
              </w:rPr>
              <w:t>40</w:t>
            </w:r>
            <w:r>
              <w:rPr>
                <w:rFonts w:hint="eastAsia" w:ascii="宋体" w:hAnsi="宋体" w:eastAsia="宋体" w:cs="宋体"/>
                <w:color w:val="000000"/>
                <w:kern w:val="0"/>
                <w:sz w:val="21"/>
                <w:szCs w:val="21"/>
                <w:highlight w:val="none"/>
                <w:lang w:val="en-US" w:eastAsia="zh-CN"/>
              </w:rPr>
              <w:t>号</w:t>
            </w:r>
          </w:p>
        </w:tc>
        <w:tc>
          <w:tcPr>
            <w:tcW w:w="787" w:type="pct"/>
            <w:shd w:val="clear" w:color="auto" w:fill="auto"/>
            <w:noWrap w:val="0"/>
            <w:vAlign w:val="center"/>
          </w:tcPr>
          <w:p w14:paraId="2D1DD6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165.88 </w:t>
            </w:r>
          </w:p>
        </w:tc>
        <w:tc>
          <w:tcPr>
            <w:tcW w:w="637" w:type="pct"/>
            <w:vMerge w:val="continue"/>
            <w:shd w:val="clear" w:color="auto" w:fill="auto"/>
            <w:noWrap w:val="0"/>
            <w:vAlign w:val="center"/>
          </w:tcPr>
          <w:p w14:paraId="242C4358">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69A1A1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26200 </w:t>
            </w:r>
          </w:p>
        </w:tc>
        <w:tc>
          <w:tcPr>
            <w:tcW w:w="623" w:type="pct"/>
            <w:shd w:val="clear" w:color="auto" w:fill="auto"/>
            <w:noWrap w:val="0"/>
            <w:vAlign w:val="center"/>
          </w:tcPr>
          <w:p w14:paraId="2CCF5FA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55AAB7D1">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2F47FB68">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72C8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4FD95DFE">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14</w:t>
            </w:r>
          </w:p>
        </w:tc>
        <w:tc>
          <w:tcPr>
            <w:tcW w:w="1082" w:type="pct"/>
            <w:shd w:val="clear" w:color="auto" w:fill="auto"/>
            <w:noWrap w:val="0"/>
            <w:vAlign w:val="center"/>
          </w:tcPr>
          <w:p w14:paraId="386E3E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振中路5号</w:t>
            </w:r>
          </w:p>
        </w:tc>
        <w:tc>
          <w:tcPr>
            <w:tcW w:w="787" w:type="pct"/>
            <w:shd w:val="clear" w:color="auto" w:fill="auto"/>
            <w:noWrap w:val="0"/>
            <w:vAlign w:val="center"/>
          </w:tcPr>
          <w:p w14:paraId="207C01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67.60 </w:t>
            </w:r>
          </w:p>
        </w:tc>
        <w:tc>
          <w:tcPr>
            <w:tcW w:w="637" w:type="pct"/>
            <w:vMerge w:val="continue"/>
            <w:noWrap w:val="0"/>
            <w:vAlign w:val="center"/>
          </w:tcPr>
          <w:p w14:paraId="22F894AA">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7F06469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13900 </w:t>
            </w:r>
          </w:p>
        </w:tc>
        <w:tc>
          <w:tcPr>
            <w:tcW w:w="623" w:type="pct"/>
            <w:shd w:val="clear" w:color="auto" w:fill="auto"/>
            <w:noWrap w:val="0"/>
            <w:vAlign w:val="center"/>
          </w:tcPr>
          <w:p w14:paraId="47F457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6FB8C2E4">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361FEE05">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51F2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107A34E5">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15</w:t>
            </w:r>
          </w:p>
        </w:tc>
        <w:tc>
          <w:tcPr>
            <w:tcW w:w="1082" w:type="pct"/>
            <w:shd w:val="clear" w:color="auto" w:fill="auto"/>
            <w:noWrap w:val="0"/>
            <w:vAlign w:val="center"/>
          </w:tcPr>
          <w:p w14:paraId="093906E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振中路6号</w:t>
            </w:r>
          </w:p>
        </w:tc>
        <w:tc>
          <w:tcPr>
            <w:tcW w:w="787" w:type="pct"/>
            <w:shd w:val="clear" w:color="auto" w:fill="auto"/>
            <w:noWrap w:val="0"/>
            <w:vAlign w:val="center"/>
          </w:tcPr>
          <w:p w14:paraId="62D8D0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188.33 </w:t>
            </w:r>
          </w:p>
        </w:tc>
        <w:tc>
          <w:tcPr>
            <w:tcW w:w="637" w:type="pct"/>
            <w:vMerge w:val="continue"/>
            <w:noWrap w:val="0"/>
            <w:vAlign w:val="center"/>
          </w:tcPr>
          <w:p w14:paraId="7CA5D772">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4789CC0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34400 </w:t>
            </w:r>
          </w:p>
        </w:tc>
        <w:tc>
          <w:tcPr>
            <w:tcW w:w="623" w:type="pct"/>
            <w:shd w:val="clear" w:color="auto" w:fill="auto"/>
            <w:noWrap w:val="0"/>
            <w:vAlign w:val="center"/>
          </w:tcPr>
          <w:p w14:paraId="75F0BD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4D8D5321">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00F5039D">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r w14:paraId="64B7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67" w:type="pct"/>
            <w:noWrap w:val="0"/>
            <w:vAlign w:val="center"/>
          </w:tcPr>
          <w:p w14:paraId="3D09A83A">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16</w:t>
            </w:r>
          </w:p>
        </w:tc>
        <w:tc>
          <w:tcPr>
            <w:tcW w:w="1082" w:type="pct"/>
            <w:shd w:val="clear" w:color="auto" w:fill="auto"/>
            <w:noWrap w:val="0"/>
            <w:vAlign w:val="center"/>
          </w:tcPr>
          <w:p w14:paraId="0C286E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kern w:val="0"/>
                <w:sz w:val="21"/>
                <w:szCs w:val="21"/>
                <w:highlight w:val="none"/>
                <w:lang w:val="en-US" w:eastAsia="zh-CN"/>
              </w:rPr>
              <w:t>振中路23号</w:t>
            </w:r>
          </w:p>
        </w:tc>
        <w:tc>
          <w:tcPr>
            <w:tcW w:w="787" w:type="pct"/>
            <w:shd w:val="clear" w:color="auto" w:fill="auto"/>
            <w:noWrap w:val="0"/>
            <w:vAlign w:val="center"/>
          </w:tcPr>
          <w:p w14:paraId="70D079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 xml:space="preserve">312.25 </w:t>
            </w:r>
          </w:p>
        </w:tc>
        <w:tc>
          <w:tcPr>
            <w:tcW w:w="637" w:type="pct"/>
            <w:vMerge w:val="continue"/>
            <w:noWrap w:val="0"/>
            <w:vAlign w:val="center"/>
          </w:tcPr>
          <w:p w14:paraId="6EF2B2B8">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30" w:type="pct"/>
            <w:shd w:val="clear" w:color="auto" w:fill="auto"/>
            <w:noWrap w:val="0"/>
            <w:vAlign w:val="center"/>
          </w:tcPr>
          <w:p w14:paraId="7DDAFA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 xml:space="preserve">53600 </w:t>
            </w:r>
          </w:p>
        </w:tc>
        <w:tc>
          <w:tcPr>
            <w:tcW w:w="623" w:type="pct"/>
            <w:shd w:val="clear" w:color="auto" w:fill="auto"/>
            <w:noWrap w:val="0"/>
            <w:vAlign w:val="center"/>
          </w:tcPr>
          <w:p w14:paraId="7836E68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5000</w:t>
            </w:r>
          </w:p>
        </w:tc>
        <w:tc>
          <w:tcPr>
            <w:tcW w:w="508" w:type="pct"/>
            <w:vMerge w:val="continue"/>
            <w:noWrap w:val="0"/>
            <w:vAlign w:val="center"/>
          </w:tcPr>
          <w:p w14:paraId="0D1F0580">
            <w:pPr>
              <w:keepNext w:val="0"/>
              <w:keepLines w:val="0"/>
              <w:pageBreakBefore w:val="0"/>
              <w:widowControl w:val="0"/>
              <w:kinsoku/>
              <w:wordWrap/>
              <w:overflowPunct/>
              <w:topLinePunct w:val="0"/>
              <w:autoSpaceDE/>
              <w:autoSpaceDN/>
              <w:bidi w:val="0"/>
              <w:adjustRightInd/>
              <w:snapToGrid/>
              <w:spacing w:line="4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63" w:type="pct"/>
            <w:vMerge w:val="continue"/>
            <w:noWrap w:val="0"/>
            <w:vAlign w:val="center"/>
          </w:tcPr>
          <w:p w14:paraId="0275CF04">
            <w:pPr>
              <w:keepNext w:val="0"/>
              <w:keepLines w:val="0"/>
              <w:pageBreakBefore w:val="0"/>
              <w:widowControl w:val="0"/>
              <w:kinsoku/>
              <w:wordWrap/>
              <w:overflowPunct/>
              <w:topLinePunct w:val="0"/>
              <w:autoSpaceDE/>
              <w:autoSpaceDN/>
              <w:bidi w:val="0"/>
              <w:adjustRightInd/>
              <w:snapToGrid/>
              <w:spacing w:line="460" w:lineRule="exact"/>
              <w:ind w:left="0" w:right="-107" w:rightChars="-51"/>
              <w:textAlignment w:val="auto"/>
              <w:rPr>
                <w:rFonts w:hint="eastAsia" w:ascii="宋体" w:hAnsi="宋体" w:eastAsia="宋体" w:cs="宋体"/>
                <w:color w:val="000000" w:themeColor="text1"/>
                <w:sz w:val="21"/>
                <w:szCs w:val="21"/>
                <w14:textFill>
                  <w14:solidFill>
                    <w14:schemeClr w14:val="tx1"/>
                  </w14:solidFill>
                </w14:textFill>
              </w:rPr>
            </w:pPr>
          </w:p>
        </w:tc>
      </w:tr>
    </w:tbl>
    <w:p w14:paraId="531BFED6">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80" w:lineRule="exact"/>
        <w:ind w:left="0" w:leftChars="0" w:firstLine="482" w:firstLineChars="200"/>
        <w:jc w:val="left"/>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注</w:t>
      </w:r>
      <w:r>
        <w:rPr>
          <w:rFonts w:hint="eastAsia" w:ascii="宋体" w:hAnsi="宋体" w:cs="宋体"/>
          <w:b/>
          <w:color w:val="000000" w:themeColor="text1"/>
          <w:kern w:val="0"/>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标的物按现状拍卖和交付，竞买人在拍卖前需自行现场踏勘、测算和核实拍卖标的，自行评估并承担相应的风险，</w:t>
      </w:r>
      <w:r>
        <w:rPr>
          <w:rFonts w:hint="eastAsia" w:ascii="宋体" w:hAnsi="宋体" w:cs="宋体"/>
          <w:color w:val="000000" w:themeColor="text1"/>
          <w:sz w:val="24"/>
          <w:lang w:eastAsia="zh-CN"/>
          <w14:textFill>
            <w14:solidFill>
              <w14:schemeClr w14:val="tx1"/>
            </w14:solidFill>
          </w14:textFill>
        </w:rPr>
        <w:t>委托双方</w:t>
      </w:r>
      <w:r>
        <w:rPr>
          <w:rFonts w:hint="eastAsia" w:ascii="宋体" w:hAnsi="宋体" w:cs="宋体"/>
          <w:color w:val="000000" w:themeColor="text1"/>
          <w:sz w:val="24"/>
          <w14:textFill>
            <w14:solidFill>
              <w14:schemeClr w14:val="tx1"/>
            </w14:solidFill>
          </w14:textFill>
        </w:rPr>
        <w:t>人均不承担拍卖标的的瑕疵担保责任，请竞买人慎重决定竞买行为。因标的物现状引发的纠纷均由买受人自行承担，委托人有权从竞买保证金中直接扣除维权费用。一旦报名参与竞买，即视为对标的物一切现状及价格的认可，愿意承担法律责任，并且不得以任何理由提出退还标的物或拒付拍卖成交款及其他费用。</w:t>
      </w:r>
    </w:p>
    <w:p w14:paraId="675DF959">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第五条  标的物特别说明（具体以委托人与买受人签订的合同为准）</w:t>
      </w:r>
    </w:p>
    <w:p w14:paraId="129BBE91">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竞买人须自愿接受下列条款以及《</w:t>
      </w:r>
      <w:r>
        <w:rPr>
          <w:rFonts w:hint="eastAsia" w:ascii="宋体" w:hAnsi="宋体"/>
          <w:b/>
          <w:color w:val="000000" w:themeColor="text1"/>
          <w:sz w:val="24"/>
          <w:lang w:eastAsia="zh-CN"/>
          <w14:textFill>
            <w14:solidFill>
              <w14:schemeClr w14:val="tx1"/>
            </w14:solidFill>
          </w14:textFill>
        </w:rPr>
        <w:t>房屋租赁合同</w:t>
      </w:r>
      <w:r>
        <w:rPr>
          <w:rFonts w:hint="eastAsia" w:ascii="宋体" w:hAnsi="宋体"/>
          <w:b/>
          <w:color w:val="000000" w:themeColor="text1"/>
          <w:sz w:val="24"/>
          <w14:textFill>
            <w14:solidFill>
              <w14:schemeClr w14:val="tx1"/>
            </w14:solidFill>
          </w14:textFill>
        </w:rPr>
        <w:t>（样本）》条款方可参加拍卖：</w:t>
      </w:r>
    </w:p>
    <w:p w14:paraId="47C442A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60" w:firstLineChars="150"/>
        <w:textAlignment w:val="auto"/>
        <w:rPr>
          <w:rFonts w:hint="eastAsia" w:ascii="宋体" w:hAnsi="宋体" w:cs="宋体"/>
          <w:color w:val="000000" w:themeColor="text1"/>
          <w:kern w:val="0"/>
          <w:sz w:val="24"/>
          <w:highlight w:val="none"/>
          <w14:textFill>
            <w14:solidFill>
              <w14:schemeClr w14:val="tx1"/>
            </w14:solidFill>
          </w14:textFill>
        </w:rPr>
      </w:pPr>
      <w:bookmarkStart w:id="0" w:name="_Hlk122378508"/>
      <w:r>
        <w:rPr>
          <w:rFonts w:hint="eastAsia" w:ascii="宋体" w:hAnsi="宋体"/>
          <w:color w:val="000000" w:themeColor="text1"/>
          <w:sz w:val="24"/>
          <w:lang w:eastAsia="zh-CN"/>
          <w14:textFill>
            <w14:solidFill>
              <w14:schemeClr w14:val="tx1"/>
            </w14:solidFill>
          </w14:textFill>
        </w:rPr>
        <w:t>（一）</w:t>
      </w:r>
      <w:r>
        <w:rPr>
          <w:rFonts w:hint="eastAsia" w:ascii="宋体" w:hAnsi="宋体" w:cs="宋体"/>
          <w:color w:val="000000" w:themeColor="text1"/>
          <w:kern w:val="0"/>
          <w:sz w:val="24"/>
          <w:highlight w:val="none"/>
          <w14:textFill>
            <w14:solidFill>
              <w14:schemeClr w14:val="tx1"/>
            </w14:solidFill>
          </w14:textFill>
        </w:rPr>
        <w:t>签订《房屋租赁合同》</w:t>
      </w:r>
      <w:r>
        <w:rPr>
          <w:rFonts w:hint="eastAsia" w:ascii="宋体" w:hAnsi="宋体" w:cs="宋体"/>
          <w:color w:val="000000" w:themeColor="text1"/>
          <w:kern w:val="0"/>
          <w:sz w:val="24"/>
          <w:highlight w:val="none"/>
          <w:lang w:eastAsia="zh-CN"/>
          <w14:textFill>
            <w14:solidFill>
              <w14:schemeClr w14:val="tx1"/>
            </w14:solidFill>
          </w14:textFill>
        </w:rPr>
        <w:t>前，</w:t>
      </w:r>
      <w:r>
        <w:rPr>
          <w:rFonts w:hint="eastAsia" w:ascii="宋体" w:hAnsi="宋体" w:cs="宋体"/>
          <w:color w:val="000000" w:themeColor="text1"/>
          <w:kern w:val="0"/>
          <w:sz w:val="24"/>
          <w:highlight w:val="none"/>
          <w14:textFill>
            <w14:solidFill>
              <w14:schemeClr w14:val="tx1"/>
            </w14:solidFill>
          </w14:textFill>
        </w:rPr>
        <w:t>由买受人向委托人支付</w:t>
      </w:r>
      <w:r>
        <w:rPr>
          <w:rFonts w:hint="eastAsia" w:ascii="宋体" w:hAnsi="宋体" w:cs="宋体"/>
          <w:b/>
          <w:bCs/>
          <w:color w:val="000000" w:themeColor="text1"/>
          <w:kern w:val="0"/>
          <w:sz w:val="24"/>
          <w14:textFill>
            <w14:solidFill>
              <w14:schemeClr w14:val="tx1"/>
            </w14:solidFill>
          </w14:textFill>
        </w:rPr>
        <w:t>履约保证金：按第</w:t>
      </w:r>
      <w:r>
        <w:rPr>
          <w:rFonts w:hint="eastAsia" w:ascii="宋体" w:hAnsi="宋体" w:cs="宋体"/>
          <w:b/>
          <w:bCs/>
          <w:color w:val="000000" w:themeColor="text1"/>
          <w:kern w:val="0"/>
          <w:sz w:val="24"/>
          <w:lang w:val="en-US" w:eastAsia="zh-CN"/>
          <w14:textFill>
            <w14:solidFill>
              <w14:schemeClr w14:val="tx1"/>
            </w14:solidFill>
          </w14:textFill>
        </w:rPr>
        <w:t>1</w:t>
      </w:r>
      <w:r>
        <w:rPr>
          <w:rFonts w:hint="eastAsia" w:ascii="宋体" w:hAnsi="宋体" w:cs="宋体"/>
          <w:b/>
          <w:bCs/>
          <w:color w:val="000000" w:themeColor="text1"/>
          <w:kern w:val="0"/>
          <w:sz w:val="24"/>
          <w14:textFill>
            <w14:solidFill>
              <w14:schemeClr w14:val="tx1"/>
            </w14:solidFill>
          </w14:textFill>
        </w:rPr>
        <w:t>年租金成交价的20%收取（</w:t>
      </w:r>
      <w:r>
        <w:rPr>
          <w:rFonts w:hint="eastAsia" w:ascii="宋体" w:hAnsi="宋体" w:cs="宋体"/>
          <w:b/>
          <w:bCs/>
          <w:color w:val="000000" w:themeColor="text1"/>
          <w:kern w:val="0"/>
          <w:sz w:val="24"/>
          <w:lang w:eastAsia="zh-CN"/>
          <w14:textFill>
            <w14:solidFill>
              <w14:schemeClr w14:val="tx1"/>
            </w14:solidFill>
          </w14:textFill>
        </w:rPr>
        <w:t>四舍五入，</w:t>
      </w:r>
      <w:r>
        <w:rPr>
          <w:rFonts w:hint="eastAsia" w:ascii="宋体" w:hAnsi="宋体" w:cs="宋体"/>
          <w:b/>
          <w:bCs/>
          <w:color w:val="000000" w:themeColor="text1"/>
          <w:kern w:val="0"/>
          <w:sz w:val="24"/>
          <w14:textFill>
            <w14:solidFill>
              <w14:schemeClr w14:val="tx1"/>
            </w14:solidFill>
          </w14:textFill>
        </w:rPr>
        <w:t>整取到千位）</w:t>
      </w:r>
      <w:r>
        <w:rPr>
          <w:rFonts w:hint="eastAsia" w:ascii="宋体" w:hAnsi="宋体" w:cs="宋体"/>
          <w:color w:val="000000" w:themeColor="text1"/>
          <w:kern w:val="0"/>
          <w:sz w:val="24"/>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履约保证金收取后，委托人应向买受人开具收款凭证。待租赁期满或合同解除时，且</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结清水、电、气、物业管理费等租赁期间费用，交还钥匙，并在工商登记注销或变更经营地后，由</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一次性退还履约保证金（按银行同期活期存款利率计息）</w:t>
      </w:r>
      <w:r>
        <w:rPr>
          <w:rFonts w:hint="eastAsia" w:ascii="宋体" w:hAnsi="宋体" w:cs="宋体"/>
          <w:color w:val="000000" w:themeColor="text1"/>
          <w:kern w:val="0"/>
          <w:sz w:val="24"/>
          <w:highlight w:val="none"/>
          <w14:textFill>
            <w14:solidFill>
              <w14:schemeClr w14:val="tx1"/>
            </w14:solidFill>
          </w14:textFill>
        </w:rPr>
        <w:t>。</w:t>
      </w:r>
    </w:p>
    <w:p w14:paraId="32976D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租赁期间，如遇</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拖欠标的租金、水电费</w:t>
      </w:r>
      <w:r>
        <w:rPr>
          <w:rFonts w:hint="eastAsia" w:ascii="宋体" w:hAnsi="宋体"/>
          <w:color w:val="000000" w:themeColor="text1"/>
          <w:sz w:val="24"/>
          <w:highlight w:val="none"/>
          <w:lang w:eastAsia="zh-CN"/>
          <w14:textFill>
            <w14:solidFill>
              <w14:schemeClr w14:val="tx1"/>
            </w14:solidFill>
          </w14:textFill>
        </w:rPr>
        <w:t>等费用</w:t>
      </w:r>
      <w:r>
        <w:rPr>
          <w:rFonts w:hint="eastAsia" w:ascii="宋体" w:hAnsi="宋体"/>
          <w:color w:val="000000" w:themeColor="text1"/>
          <w:sz w:val="24"/>
          <w:highlight w:val="none"/>
          <w14:textFill>
            <w14:solidFill>
              <w14:schemeClr w14:val="tx1"/>
            </w14:solidFill>
          </w14:textFill>
        </w:rPr>
        <w:t>及发生其他违约情形时，</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有权从履约保证金中扣除相应费用，如遇履约保证金不足时，</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应在接</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通知后在10日内补足</w:t>
      </w:r>
      <w:r>
        <w:rPr>
          <w:rFonts w:hint="eastAsia" w:ascii="宋体" w:hAnsi="宋体" w:cs="宋体"/>
          <w:color w:val="000000" w:themeColor="text1"/>
          <w:kern w:val="0"/>
          <w:sz w:val="24"/>
          <w:highlight w:val="none"/>
          <w14:textFill>
            <w14:solidFill>
              <w14:schemeClr w14:val="tx1"/>
            </w14:solidFill>
          </w14:textFill>
        </w:rPr>
        <w:t>。</w:t>
      </w:r>
    </w:p>
    <w:p w14:paraId="36E83B68">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（二）租</w:t>
      </w:r>
      <w:r>
        <w:rPr>
          <w:rFonts w:hint="eastAsia" w:ascii="宋体" w:hAnsi="宋体"/>
          <w:color w:val="000000" w:themeColor="text1"/>
          <w:sz w:val="24"/>
          <w14:textFill>
            <w14:solidFill>
              <w14:schemeClr w14:val="tx1"/>
            </w14:solidFill>
          </w14:textFill>
        </w:rPr>
        <w:t>金实行按年支付、先付后用的原则</w:t>
      </w:r>
      <w:r>
        <w:rPr>
          <w:rFonts w:hint="eastAsia" w:ascii="Calibri" w:hAnsi="Calibri" w:cs="Calibri"/>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买受人应提前</w:t>
      </w:r>
      <w:r>
        <w:rPr>
          <w:rFonts w:hint="eastAsia" w:ascii="宋体" w:hAnsi="宋体"/>
          <w:color w:val="000000" w:themeColor="text1"/>
          <w:sz w:val="24"/>
          <w:lang w:val="en-US" w:eastAsia="zh-CN"/>
          <w14:textFill>
            <w14:solidFill>
              <w14:schemeClr w14:val="tx1"/>
            </w14:solidFill>
          </w14:textFill>
        </w:rPr>
        <w:t>1个月</w:t>
      </w:r>
      <w:r>
        <w:rPr>
          <w:rFonts w:hint="eastAsia" w:ascii="宋体" w:hAnsi="宋体"/>
          <w:color w:val="000000" w:themeColor="text1"/>
          <w:sz w:val="24"/>
          <w14:textFill>
            <w14:solidFill>
              <w14:schemeClr w14:val="tx1"/>
            </w14:solidFill>
          </w14:textFill>
        </w:rPr>
        <w:t>将下一年租金交至委托人</w:t>
      </w:r>
      <w:r>
        <w:rPr>
          <w:rFonts w:hint="eastAsia" w:ascii="宋体" w:hAnsi="宋体"/>
          <w:color w:val="000000" w:themeColor="text1"/>
          <w:sz w:val="24"/>
          <w:lang w:eastAsia="zh-CN"/>
          <w14:textFill>
            <w14:solidFill>
              <w14:schemeClr w14:val="tx1"/>
            </w14:solidFill>
          </w14:textFill>
        </w:rPr>
        <w:t>，同时按年支付物业管理费(1元/平方米/月）。</w:t>
      </w:r>
    </w:p>
    <w:p w14:paraId="61198462">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360" w:firstLineChars="150"/>
        <w:jc w:val="lef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olor w:val="000000" w:themeColor="text1"/>
          <w:sz w:val="24"/>
          <w14:textFill>
            <w14:solidFill>
              <w14:schemeClr w14:val="tx1"/>
            </w14:solidFill>
          </w14:textFill>
        </w:rPr>
        <w:t>未经委托人同意，买受人不得擅自将标的物转租、转借及分租。如遇特殊情况确需进行退租的，则买受人须提前2个月向委托人提出书面申请，经委托人同意后，方可办理退租手续；租期不足1个月的按1个月收取租金，剩余已付租金退还，但履约保证金不予退还。</w:t>
      </w:r>
    </w:p>
    <w:p w14:paraId="4A1BBB36">
      <w:pPr>
        <w:keepNext w:val="0"/>
        <w:keepLines w:val="0"/>
        <w:pageBreakBefore w:val="0"/>
        <w:kinsoku/>
        <w:wordWrap/>
        <w:overflowPunct/>
        <w:topLinePunct w:val="0"/>
        <w:autoSpaceDE/>
        <w:autoSpaceDN/>
        <w:bidi w:val="0"/>
        <w:adjustRightInd/>
        <w:snapToGrid/>
        <w:spacing w:line="480" w:lineRule="exact"/>
        <w:ind w:firstLine="360" w:firstLineChars="150"/>
        <w:textAlignment w:val="auto"/>
        <w:rPr>
          <w:rFonts w:hint="eastAsia"/>
          <w:color w:val="000000" w:themeColor="text1"/>
          <w:sz w:val="24"/>
          <w14:textFill>
            <w14:solidFill>
              <w14:schemeClr w14:val="tx1"/>
            </w14:solidFill>
          </w14:textFill>
        </w:rPr>
      </w:pPr>
      <w:r>
        <w:rPr>
          <w:rFonts w:hint="eastAsia" w:ascii="宋体" w:hAnsi="宋体" w:cs="宋体"/>
          <w:bCs/>
          <w:color w:val="000000" w:themeColor="text1"/>
          <w:kern w:val="0"/>
          <w:sz w:val="24"/>
          <w:szCs w:val="24"/>
          <w:lang w:eastAsia="zh-CN"/>
          <w14:textFill>
            <w14:solidFill>
              <w14:schemeClr w14:val="tx1"/>
            </w14:solidFill>
          </w14:textFill>
        </w:rPr>
        <w:t>（四）</w:t>
      </w:r>
      <w:r>
        <w:rPr>
          <w:rFonts w:hint="eastAsia" w:ascii="宋体" w:hAnsi="宋体"/>
          <w:color w:val="000000" w:themeColor="text1"/>
          <w:sz w:val="24"/>
          <w:lang w:eastAsia="zh-CN"/>
          <w14:textFill>
            <w14:solidFill>
              <w14:schemeClr w14:val="tx1"/>
            </w14:solidFill>
          </w14:textFill>
        </w:rPr>
        <w:t>委托人</w:t>
      </w:r>
      <w:r>
        <w:rPr>
          <w:rFonts w:hint="eastAsia" w:ascii="宋体" w:hAnsi="宋体"/>
          <w:color w:val="000000" w:themeColor="text1"/>
          <w:sz w:val="24"/>
          <w14:textFill>
            <w14:solidFill>
              <w14:schemeClr w14:val="tx1"/>
            </w14:solidFill>
          </w14:textFill>
        </w:rPr>
        <w:t>按标的</w:t>
      </w:r>
      <w:r>
        <w:rPr>
          <w:rFonts w:hint="eastAsia" w:ascii="宋体" w:hAnsi="宋体"/>
          <w:color w:val="000000" w:themeColor="text1"/>
          <w:sz w:val="24"/>
          <w:lang w:eastAsia="zh-CN"/>
          <w14:textFill>
            <w14:solidFill>
              <w14:schemeClr w14:val="tx1"/>
            </w14:solidFill>
          </w14:textFill>
        </w:rPr>
        <w:t>物</w:t>
      </w:r>
      <w:r>
        <w:rPr>
          <w:rFonts w:hint="eastAsia" w:ascii="宋体" w:hAnsi="宋体"/>
          <w:color w:val="000000" w:themeColor="text1"/>
          <w:sz w:val="24"/>
          <w14:textFill>
            <w14:solidFill>
              <w14:schemeClr w14:val="tx1"/>
            </w14:solidFill>
          </w14:textFill>
        </w:rPr>
        <w:t>的现状交付给</w:t>
      </w:r>
      <w:r>
        <w:rPr>
          <w:rFonts w:hint="eastAsia" w:ascii="宋体" w:hAnsi="宋体"/>
          <w:color w:val="000000" w:themeColor="text1"/>
          <w:sz w:val="24"/>
          <w:lang w:eastAsia="zh-CN"/>
          <w14:textFill>
            <w14:solidFill>
              <w14:schemeClr w14:val="tx1"/>
            </w14:solidFill>
          </w14:textFill>
        </w:rPr>
        <w:t>买受人</w:t>
      </w:r>
      <w:r>
        <w:rPr>
          <w:rFonts w:hint="eastAsia" w:ascii="宋体" w:hAnsi="宋体"/>
          <w:color w:val="000000" w:themeColor="text1"/>
          <w:sz w:val="24"/>
          <w14:textFill>
            <w14:solidFill>
              <w14:schemeClr w14:val="tx1"/>
            </w14:solidFill>
          </w14:textFill>
        </w:rPr>
        <w:t>使用，涉及经营的相关证照由</w:t>
      </w:r>
      <w:r>
        <w:rPr>
          <w:rFonts w:hint="eastAsia" w:ascii="宋体" w:hAnsi="宋体"/>
          <w:color w:val="000000" w:themeColor="text1"/>
          <w:sz w:val="24"/>
          <w:lang w:eastAsia="zh-CN"/>
          <w14:textFill>
            <w14:solidFill>
              <w14:schemeClr w14:val="tx1"/>
            </w14:solidFill>
          </w14:textFill>
        </w:rPr>
        <w:t>买受人</w:t>
      </w:r>
      <w:r>
        <w:rPr>
          <w:rFonts w:hint="eastAsia" w:ascii="宋体" w:hAnsi="宋体"/>
          <w:color w:val="000000" w:themeColor="text1"/>
          <w:sz w:val="24"/>
          <w14:textFill>
            <w14:solidFill>
              <w14:schemeClr w14:val="tx1"/>
            </w14:solidFill>
          </w14:textFill>
        </w:rPr>
        <w:t>自行向有关部门申请办理，涉及的各项税费等由</w:t>
      </w:r>
      <w:r>
        <w:rPr>
          <w:rFonts w:hint="eastAsia" w:ascii="宋体" w:hAnsi="宋体"/>
          <w:color w:val="000000" w:themeColor="text1"/>
          <w:sz w:val="24"/>
          <w:lang w:eastAsia="zh-CN"/>
          <w14:textFill>
            <w14:solidFill>
              <w14:schemeClr w14:val="tx1"/>
            </w14:solidFill>
          </w14:textFill>
        </w:rPr>
        <w:t>买受人</w:t>
      </w:r>
      <w:r>
        <w:rPr>
          <w:rFonts w:hint="eastAsia" w:ascii="宋体" w:hAnsi="宋体"/>
          <w:color w:val="000000" w:themeColor="text1"/>
          <w:sz w:val="24"/>
          <w14:textFill>
            <w14:solidFill>
              <w14:schemeClr w14:val="tx1"/>
            </w14:solidFill>
          </w14:textFill>
        </w:rPr>
        <w:t>自行承担，与</w:t>
      </w:r>
      <w:r>
        <w:rPr>
          <w:rFonts w:hint="eastAsia" w:ascii="宋体" w:hAnsi="宋体"/>
          <w:color w:val="000000" w:themeColor="text1"/>
          <w:sz w:val="24"/>
          <w:lang w:eastAsia="zh-CN"/>
          <w14:textFill>
            <w14:solidFill>
              <w14:schemeClr w14:val="tx1"/>
            </w14:solidFill>
          </w14:textFill>
        </w:rPr>
        <w:t>委托人</w:t>
      </w:r>
      <w:r>
        <w:rPr>
          <w:rFonts w:hint="eastAsia" w:ascii="宋体" w:hAnsi="宋体"/>
          <w:color w:val="000000" w:themeColor="text1"/>
          <w:sz w:val="24"/>
          <w14:textFill>
            <w14:solidFill>
              <w14:schemeClr w14:val="tx1"/>
            </w14:solidFill>
          </w14:textFill>
        </w:rPr>
        <w:t>无涉</w:t>
      </w:r>
      <w:r>
        <w:rPr>
          <w:rFonts w:hint="eastAsia"/>
          <w:color w:val="000000" w:themeColor="text1"/>
          <w:sz w:val="24"/>
          <w14:textFill>
            <w14:solidFill>
              <w14:schemeClr w14:val="tx1"/>
            </w14:solidFill>
          </w14:textFill>
        </w:rPr>
        <w:t>。</w:t>
      </w:r>
    </w:p>
    <w:p w14:paraId="6F8B6AFB">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360" w:firstLineChars="150"/>
        <w:jc w:val="both"/>
        <w:textAlignment w:val="auto"/>
        <w:rPr>
          <w:rFonts w:hint="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五</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买受人的经营范围必须符合法律、法规等相关规定，且不得从事易燃易爆物品以及影响周边环境及危害标的物安全的经营活动，并保证在租赁期间严格遵守国家和委托人有关标的物使用的规定。</w:t>
      </w:r>
    </w:p>
    <w:bookmarkEnd w:id="0"/>
    <w:p w14:paraId="4AFAD4D3">
      <w:pPr>
        <w:keepNext w:val="0"/>
        <w:keepLines w:val="0"/>
        <w:pageBreakBefore w:val="0"/>
        <w:kinsoku/>
        <w:wordWrap/>
        <w:overflowPunct/>
        <w:topLinePunct w:val="0"/>
        <w:autoSpaceDE/>
        <w:autoSpaceDN/>
        <w:bidi w:val="0"/>
        <w:adjustRightInd/>
        <w:snapToGrid/>
        <w:spacing w:line="480" w:lineRule="exact"/>
        <w:ind w:firstLine="360" w:firstLineChars="15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六</w:t>
      </w:r>
      <w:r>
        <w:rPr>
          <w:rFonts w:hint="eastAsia"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应严格按照</w:t>
      </w:r>
      <w:r>
        <w:rPr>
          <w:rFonts w:hint="eastAsia" w:ascii="Times New Roman" w:hAnsi="Times New Roman" w:eastAsia="宋体" w:cs="Times New Roman"/>
          <w:color w:val="000000" w:themeColor="text1"/>
          <w:sz w:val="24"/>
          <w:lang w:val="en-US" w:eastAsia="zh-CN"/>
          <w14:textFill>
            <w14:solidFill>
              <w14:schemeClr w14:val="tx1"/>
            </w14:solidFill>
          </w14:textFill>
        </w:rPr>
        <w:t>相关法律法规及相关</w:t>
      </w:r>
      <w:r>
        <w:rPr>
          <w:rFonts w:hint="eastAsia" w:ascii="Times New Roman" w:hAnsi="Times New Roman" w:eastAsia="宋体" w:cs="Times New Roman"/>
          <w:color w:val="000000" w:themeColor="text1"/>
          <w:sz w:val="24"/>
          <w14:textFill>
            <w14:solidFill>
              <w14:schemeClr w14:val="tx1"/>
            </w14:solidFill>
          </w14:textFill>
        </w:rPr>
        <w:t>管理部门要求做好</w:t>
      </w:r>
      <w:r>
        <w:rPr>
          <w:rFonts w:hint="eastAsia" w:ascii="Times New Roman" w:hAnsi="Times New Roman" w:eastAsia="宋体" w:cs="Times New Roman"/>
          <w:color w:val="000000" w:themeColor="text1"/>
          <w:sz w:val="24"/>
          <w:lang w:val="en-US" w:eastAsia="zh-CN"/>
          <w14:textFill>
            <w14:solidFill>
              <w14:schemeClr w14:val="tx1"/>
            </w14:solidFill>
          </w14:textFill>
        </w:rPr>
        <w:t>消防</w:t>
      </w:r>
      <w:r>
        <w:rPr>
          <w:rFonts w:hint="eastAsia" w:ascii="Times New Roman" w:hAnsi="Times New Roman" w:eastAsia="宋体" w:cs="Times New Roman"/>
          <w:color w:val="000000" w:themeColor="text1"/>
          <w:sz w:val="24"/>
          <w14:textFill>
            <w14:solidFill>
              <w14:schemeClr w14:val="tx1"/>
            </w14:solidFill>
          </w14:textFill>
        </w:rPr>
        <w:t>安全、</w:t>
      </w:r>
      <w:r>
        <w:rPr>
          <w:rFonts w:hint="eastAsia" w:ascii="Times New Roman" w:hAnsi="Times New Roman" w:eastAsia="宋体" w:cs="Times New Roman"/>
          <w:color w:val="000000" w:themeColor="text1"/>
          <w:sz w:val="24"/>
          <w:lang w:val="en-US" w:eastAsia="zh-CN"/>
          <w14:textFill>
            <w14:solidFill>
              <w14:schemeClr w14:val="tx1"/>
            </w14:solidFill>
          </w14:textFill>
        </w:rPr>
        <w:t>电气安全、</w:t>
      </w:r>
      <w:r>
        <w:rPr>
          <w:rFonts w:hint="eastAsia" w:ascii="Times New Roman" w:hAnsi="Times New Roman" w:eastAsia="宋体" w:cs="Times New Roman"/>
          <w:color w:val="000000" w:themeColor="text1"/>
          <w:sz w:val="24"/>
          <w14:textFill>
            <w14:solidFill>
              <w14:schemeClr w14:val="tx1"/>
            </w14:solidFill>
          </w14:textFill>
        </w:rPr>
        <w:t>环保</w:t>
      </w:r>
      <w:r>
        <w:rPr>
          <w:rFonts w:hint="eastAsia" w:ascii="Times New Roman" w:hAnsi="Times New Roman" w:eastAsia="宋体" w:cs="Times New Roman"/>
          <w:color w:val="000000" w:themeColor="text1"/>
          <w:sz w:val="24"/>
          <w:lang w:val="en-US" w:eastAsia="zh-CN"/>
          <w14:textFill>
            <w14:solidFill>
              <w14:schemeClr w14:val="tx1"/>
            </w14:solidFill>
          </w14:textFill>
        </w:rPr>
        <w:t>安全</w:t>
      </w:r>
      <w:r>
        <w:rPr>
          <w:rFonts w:hint="eastAsia" w:ascii="Times New Roman" w:hAnsi="Times New Roman" w:eastAsia="宋体" w:cs="Times New Roman"/>
          <w:color w:val="000000" w:themeColor="text1"/>
          <w:sz w:val="24"/>
          <w14:textFill>
            <w14:solidFill>
              <w14:schemeClr w14:val="tx1"/>
            </w14:solidFill>
          </w14:textFill>
        </w:rPr>
        <w:t>等相关工作，因</w:t>
      </w:r>
      <w:r>
        <w:rPr>
          <w:rFonts w:hint="eastAsia" w:ascii="Times New Roman" w:hAnsi="Times New Roman" w:eastAsia="宋体" w:cs="Times New Roman"/>
          <w:color w:val="000000" w:themeColor="text1"/>
          <w:sz w:val="24"/>
          <w:lang w:val="en-US" w:eastAsia="zh-CN"/>
          <w14:textFill>
            <w14:solidFill>
              <w14:schemeClr w14:val="tx1"/>
            </w14:solidFill>
          </w14:textFill>
        </w:rPr>
        <w:t>设备设施配置不到位、管理</w:t>
      </w:r>
      <w:r>
        <w:rPr>
          <w:rFonts w:hint="eastAsia" w:ascii="Times New Roman" w:hAnsi="Times New Roman" w:eastAsia="宋体" w:cs="Times New Roman"/>
          <w:color w:val="000000" w:themeColor="text1"/>
          <w:sz w:val="24"/>
          <w14:textFill>
            <w14:solidFill>
              <w14:schemeClr w14:val="tx1"/>
            </w14:solidFill>
          </w14:textFill>
        </w:rPr>
        <w:t>工作措施不到位而</w:t>
      </w:r>
      <w:r>
        <w:rPr>
          <w:rFonts w:hint="eastAsia" w:ascii="Times New Roman" w:hAnsi="Times New Roman" w:eastAsia="宋体" w:cs="Times New Roman"/>
          <w:color w:val="000000" w:themeColor="text1"/>
          <w:sz w:val="24"/>
          <w:lang w:val="en-US" w:eastAsia="zh-CN"/>
          <w14:textFill>
            <w14:solidFill>
              <w14:schemeClr w14:val="tx1"/>
            </w14:solidFill>
          </w14:textFill>
        </w:rPr>
        <w:t>发</w:t>
      </w:r>
      <w:r>
        <w:rPr>
          <w:rFonts w:hint="eastAsia" w:ascii="Times New Roman" w:hAnsi="Times New Roman" w:eastAsia="宋体" w:cs="Times New Roman"/>
          <w:color w:val="000000" w:themeColor="text1"/>
          <w:sz w:val="24"/>
          <w14:textFill>
            <w14:solidFill>
              <w14:schemeClr w14:val="tx1"/>
            </w14:solidFill>
          </w14:textFill>
        </w:rPr>
        <w:t>生</w:t>
      </w:r>
      <w:r>
        <w:rPr>
          <w:rFonts w:hint="eastAsia" w:ascii="Times New Roman" w:hAnsi="Times New Roman" w:eastAsia="宋体" w:cs="Times New Roman"/>
          <w:color w:val="000000" w:themeColor="text1"/>
          <w:sz w:val="24"/>
          <w:lang w:val="en-US" w:eastAsia="zh-CN"/>
          <w14:textFill>
            <w14:solidFill>
              <w14:schemeClr w14:val="tx1"/>
            </w14:solidFill>
          </w14:textFill>
        </w:rPr>
        <w:t>安全生产</w:t>
      </w:r>
      <w:r>
        <w:rPr>
          <w:rFonts w:hint="eastAsia" w:ascii="Times New Roman" w:hAnsi="Times New Roman" w:eastAsia="宋体" w:cs="Times New Roman"/>
          <w:color w:val="000000" w:themeColor="text1"/>
          <w:sz w:val="24"/>
          <w14:textFill>
            <w14:solidFill>
              <w14:schemeClr w14:val="tx1"/>
            </w14:solidFill>
          </w14:textFill>
        </w:rPr>
        <w:t>责任事故</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火灾事故造成经济</w:t>
      </w:r>
      <w:r>
        <w:rPr>
          <w:rFonts w:hint="eastAsia" w:ascii="Times New Roman" w:hAnsi="Times New Roman" w:eastAsia="宋体" w:cs="Times New Roman"/>
          <w:color w:val="000000" w:themeColor="text1"/>
          <w:sz w:val="24"/>
          <w14:textFill>
            <w14:solidFill>
              <w14:schemeClr w14:val="tx1"/>
            </w14:solidFill>
          </w14:textFill>
        </w:rPr>
        <w:t>损失（包括第三方的经济责任）</w:t>
      </w:r>
      <w:r>
        <w:rPr>
          <w:rFonts w:hint="eastAsia" w:ascii="Times New Roman" w:hAnsi="Times New Roman" w:eastAsia="宋体" w:cs="Times New Roman"/>
          <w:color w:val="000000" w:themeColor="text1"/>
          <w:sz w:val="24"/>
          <w:lang w:val="en-US" w:eastAsia="zh-CN"/>
          <w14:textFill>
            <w14:solidFill>
              <w14:schemeClr w14:val="tx1"/>
            </w14:solidFill>
          </w14:textFill>
        </w:rPr>
        <w:t>均</w:t>
      </w:r>
      <w:r>
        <w:rPr>
          <w:rFonts w:hint="eastAsia" w:ascii="Times New Roman" w:hAnsi="Times New Roman" w:eastAsia="宋体" w:cs="Times New Roman"/>
          <w:color w:val="000000" w:themeColor="text1"/>
          <w:sz w:val="24"/>
          <w14:textFill>
            <w14:solidFill>
              <w14:schemeClr w14:val="tx1"/>
            </w14:solidFill>
          </w14:textFill>
        </w:rPr>
        <w:t>由</w:t>
      </w: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承担，与</w:t>
      </w:r>
      <w:r>
        <w:rPr>
          <w:rFonts w:hint="eastAsia" w:ascii="Times New Roman" w:hAnsi="Times New Roman" w:eastAsia="宋体" w:cs="Times New Roman"/>
          <w:color w:val="000000" w:themeColor="text1"/>
          <w:sz w:val="24"/>
          <w:lang w:eastAsia="zh-CN"/>
          <w14:textFill>
            <w14:solidFill>
              <w14:schemeClr w14:val="tx1"/>
            </w14:solidFill>
          </w14:textFill>
        </w:rPr>
        <w:t>委托人</w:t>
      </w:r>
      <w:r>
        <w:rPr>
          <w:rFonts w:hint="eastAsia" w:ascii="Times New Roman" w:hAnsi="Times New Roman" w:eastAsia="宋体" w:cs="Times New Roman"/>
          <w:color w:val="000000" w:themeColor="text1"/>
          <w:sz w:val="24"/>
          <w14:textFill>
            <w14:solidFill>
              <w14:schemeClr w14:val="tx1"/>
            </w14:solidFill>
          </w14:textFill>
        </w:rPr>
        <w:t>无涉。</w:t>
      </w:r>
    </w:p>
    <w:p w14:paraId="0DBB8960">
      <w:pPr>
        <w:keepNext w:val="0"/>
        <w:keepLines w:val="0"/>
        <w:pageBreakBefore w:val="0"/>
        <w:kinsoku/>
        <w:wordWrap/>
        <w:overflowPunct/>
        <w:topLinePunct w:val="0"/>
        <w:autoSpaceDE/>
        <w:autoSpaceDN/>
        <w:bidi w:val="0"/>
        <w:adjustRightInd/>
        <w:snapToGrid/>
        <w:spacing w:line="480" w:lineRule="exact"/>
        <w:ind w:firstLine="360" w:firstLineChars="15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七</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装修时不得在</w:t>
      </w:r>
      <w:r>
        <w:rPr>
          <w:rFonts w:hint="eastAsia"/>
          <w:color w:val="000000" w:themeColor="text1"/>
          <w:sz w:val="24"/>
          <w:lang w:eastAsia="zh-CN"/>
          <w14:textFill>
            <w14:solidFill>
              <w14:schemeClr w14:val="tx1"/>
            </w14:solidFill>
          </w14:textFill>
        </w:rPr>
        <w:t>标的物</w:t>
      </w:r>
      <w:r>
        <w:rPr>
          <w:rFonts w:hint="eastAsia"/>
          <w:color w:val="000000" w:themeColor="text1"/>
          <w:sz w:val="24"/>
          <w14:textFill>
            <w14:solidFill>
              <w14:schemeClr w14:val="tx1"/>
            </w14:solidFill>
          </w14:textFill>
        </w:rPr>
        <w:t>内任意改变主体结构，需要对</w:t>
      </w:r>
      <w:r>
        <w:rPr>
          <w:rFonts w:hint="eastAsia"/>
          <w:color w:val="000000" w:themeColor="text1"/>
          <w:sz w:val="24"/>
          <w:lang w:eastAsia="zh-CN"/>
          <w14:textFill>
            <w14:solidFill>
              <w14:schemeClr w14:val="tx1"/>
            </w14:solidFill>
          </w14:textFill>
        </w:rPr>
        <w:t>标的物</w:t>
      </w:r>
      <w:r>
        <w:rPr>
          <w:rFonts w:hint="eastAsia"/>
          <w:color w:val="000000" w:themeColor="text1"/>
          <w:sz w:val="24"/>
          <w14:textFill>
            <w14:solidFill>
              <w14:schemeClr w14:val="tx1"/>
            </w14:solidFill>
          </w14:textFill>
        </w:rPr>
        <w:t>外立面和内部装修改造时，须将设计方案报</w:t>
      </w:r>
      <w:r>
        <w:rPr>
          <w:rFonts w:hint="eastAsia"/>
          <w:color w:val="000000" w:themeColor="text1"/>
          <w:sz w:val="24"/>
          <w:lang w:eastAsia="zh-CN"/>
          <w14:textFill>
            <w14:solidFill>
              <w14:schemeClr w14:val="tx1"/>
            </w14:solidFill>
          </w14:textFill>
        </w:rPr>
        <w:t>委托人</w:t>
      </w:r>
      <w:r>
        <w:rPr>
          <w:rFonts w:hint="eastAsia"/>
          <w:color w:val="000000" w:themeColor="text1"/>
          <w:sz w:val="24"/>
          <w14:textFill>
            <w14:solidFill>
              <w14:schemeClr w14:val="tx1"/>
            </w14:solidFill>
          </w14:textFill>
        </w:rPr>
        <w:t>备案，若需经相关职能部门批准的，由</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自行办理相关审批手续并承担费用；同时</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应将自行装修的图纸给予</w:t>
      </w:r>
      <w:r>
        <w:rPr>
          <w:rFonts w:hint="eastAsia"/>
          <w:color w:val="000000" w:themeColor="text1"/>
          <w:sz w:val="24"/>
          <w:lang w:eastAsia="zh-CN"/>
          <w14:textFill>
            <w14:solidFill>
              <w14:schemeClr w14:val="tx1"/>
            </w14:solidFill>
          </w14:textFill>
        </w:rPr>
        <w:t>委托人</w:t>
      </w:r>
      <w:r>
        <w:rPr>
          <w:rFonts w:hint="eastAsia"/>
          <w:color w:val="000000" w:themeColor="text1"/>
          <w:sz w:val="24"/>
          <w14:textFill>
            <w14:solidFill>
              <w14:schemeClr w14:val="tx1"/>
            </w14:solidFill>
          </w14:textFill>
        </w:rPr>
        <w:t>一份，并承诺自行装修的</w:t>
      </w:r>
      <w:r>
        <w:rPr>
          <w:rFonts w:hint="eastAsia"/>
          <w:color w:val="000000" w:themeColor="text1"/>
          <w:sz w:val="24"/>
          <w:lang w:eastAsia="zh-CN"/>
          <w14:textFill>
            <w14:solidFill>
              <w14:schemeClr w14:val="tx1"/>
            </w14:solidFill>
          </w14:textFill>
        </w:rPr>
        <w:t>标的物</w:t>
      </w:r>
      <w:r>
        <w:rPr>
          <w:rFonts w:hint="eastAsia"/>
          <w:color w:val="000000" w:themeColor="text1"/>
          <w:sz w:val="24"/>
          <w14:textFill>
            <w14:solidFill>
              <w14:schemeClr w14:val="tx1"/>
            </w14:solidFill>
          </w14:textFill>
        </w:rPr>
        <w:t>安全牢固，符合安全要求。</w:t>
      </w:r>
    </w:p>
    <w:p w14:paraId="12F8A1F8">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八</w:t>
      </w:r>
      <w:r>
        <w:rPr>
          <w:rFonts w:hint="eastAsia"/>
          <w:color w:val="000000" w:themeColor="text1"/>
          <w:sz w:val="24"/>
          <w14:textFill>
            <w14:solidFill>
              <w14:schemeClr w14:val="tx1"/>
            </w14:solidFill>
          </w14:textFill>
        </w:rPr>
        <w:t>）租赁期间，如遇政府征收（收购）拆迁改造和城市建设施工或城市基础设施改造施工等，则须提前</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个月书面通知</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买受人</w:t>
      </w:r>
      <w:r>
        <w:rPr>
          <w:rFonts w:hint="eastAsia"/>
          <w:color w:val="000000" w:themeColor="text1"/>
          <w:sz w:val="24"/>
          <w14:textFill>
            <w14:solidFill>
              <w14:schemeClr w14:val="tx1"/>
            </w14:solidFill>
          </w14:textFill>
        </w:rPr>
        <w:t>应无条件服从并及时归还标的，</w:t>
      </w:r>
      <w:r>
        <w:rPr>
          <w:rFonts w:hint="eastAsia"/>
          <w:color w:val="000000" w:themeColor="text1"/>
          <w:sz w:val="24"/>
          <w:lang w:eastAsia="zh-CN"/>
          <w14:textFill>
            <w14:solidFill>
              <w14:schemeClr w14:val="tx1"/>
            </w14:solidFill>
          </w14:textFill>
        </w:rPr>
        <w:t>委托人</w:t>
      </w:r>
      <w:r>
        <w:rPr>
          <w:rFonts w:hint="eastAsia"/>
          <w:color w:val="000000" w:themeColor="text1"/>
          <w:sz w:val="24"/>
          <w14:textFill>
            <w14:solidFill>
              <w14:schemeClr w14:val="tx1"/>
            </w14:solidFill>
          </w14:textFill>
        </w:rPr>
        <w:t>不承担违约责任和任何形式的补偿。租金按照实际使用时间计算，多退少补，</w:t>
      </w:r>
      <w:r>
        <w:rPr>
          <w:rFonts w:hint="eastAsia"/>
          <w:color w:val="000000" w:themeColor="text1"/>
          <w:sz w:val="24"/>
          <w:lang w:eastAsia="zh-CN"/>
          <w14:textFill>
            <w14:solidFill>
              <w14:schemeClr w14:val="tx1"/>
            </w14:solidFill>
          </w14:textFill>
        </w:rPr>
        <w:t>且</w:t>
      </w:r>
      <w:r>
        <w:rPr>
          <w:rFonts w:hint="eastAsia"/>
          <w:color w:val="000000" w:themeColor="text1"/>
          <w:sz w:val="24"/>
          <w14:textFill>
            <w14:solidFill>
              <w14:schemeClr w14:val="tx1"/>
            </w14:solidFill>
          </w14:textFill>
        </w:rPr>
        <w:t>履约保证金予以返还。</w:t>
      </w:r>
    </w:p>
    <w:p w14:paraId="21339CA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如遇政</w:t>
      </w:r>
      <w:r>
        <w:rPr>
          <w:rFonts w:hint="eastAsia" w:ascii="Times New Roman" w:hAnsi="Times New Roman" w:eastAsia="宋体" w:cs="Times New Roman"/>
          <w:color w:val="000000" w:themeColor="text1"/>
          <w:sz w:val="24"/>
          <w14:textFill>
            <w14:solidFill>
              <w14:schemeClr w14:val="tx1"/>
            </w14:solidFill>
          </w14:textFill>
        </w:rPr>
        <w:t>府征收（收购）拆迁改造和城市建设施工或城市基础设施改造施工等其他所有拆迁补偿费用归</w:t>
      </w:r>
      <w:r>
        <w:rPr>
          <w:rFonts w:hint="eastAsia" w:ascii="Times New Roman" w:hAnsi="Times New Roman" w:eastAsia="宋体" w:cs="Times New Roman"/>
          <w:color w:val="000000" w:themeColor="text1"/>
          <w:sz w:val="24"/>
          <w:lang w:eastAsia="zh-CN"/>
          <w14:textFill>
            <w14:solidFill>
              <w14:schemeClr w14:val="tx1"/>
            </w14:solidFill>
          </w14:textFill>
        </w:rPr>
        <w:t>委托人</w:t>
      </w:r>
      <w:r>
        <w:rPr>
          <w:rFonts w:hint="eastAsia" w:ascii="Times New Roman" w:hAnsi="Times New Roman" w:eastAsia="宋体" w:cs="Times New Roman"/>
          <w:color w:val="000000" w:themeColor="text1"/>
          <w:sz w:val="24"/>
          <w14:textFill>
            <w14:solidFill>
              <w14:schemeClr w14:val="tx1"/>
            </w14:solidFill>
          </w14:textFill>
        </w:rPr>
        <w:t>所有，但</w:t>
      </w: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自行装修和添置的设施设备政府补偿归</w:t>
      </w: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所有</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14:textFill>
            <w14:solidFill>
              <w14:schemeClr w14:val="tx1"/>
            </w14:solidFill>
          </w14:textFill>
        </w:rPr>
        <w:t>并且</w:t>
      </w:r>
      <w:r>
        <w:rPr>
          <w:rFonts w:hint="eastAsia" w:ascii="Times New Roman" w:hAnsi="Times New Roman" w:eastAsia="宋体" w:cs="Times New Roman"/>
          <w:color w:val="000000" w:themeColor="text1"/>
          <w:sz w:val="24"/>
          <w:lang w:eastAsia="zh-CN"/>
          <w14:textFill>
            <w14:solidFill>
              <w14:schemeClr w14:val="tx1"/>
            </w14:solidFill>
          </w14:textFill>
        </w:rPr>
        <w:t>委托人</w:t>
      </w:r>
      <w:r>
        <w:rPr>
          <w:rFonts w:hint="eastAsia" w:ascii="Times New Roman" w:hAnsi="Times New Roman" w:eastAsia="宋体" w:cs="Times New Roman"/>
          <w:color w:val="000000" w:themeColor="text1"/>
          <w:sz w:val="24"/>
          <w14:textFill>
            <w14:solidFill>
              <w14:schemeClr w14:val="tx1"/>
            </w14:solidFill>
          </w14:textFill>
        </w:rPr>
        <w:t>不作任何补偿</w:t>
      </w:r>
      <w:r>
        <w:rPr>
          <w:rFonts w:hint="eastAsia" w:ascii="Times New Roman" w:hAnsi="Times New Roman" w:eastAsia="宋体" w:cs="Times New Roman"/>
          <w:color w:val="000000" w:themeColor="text1"/>
          <w:sz w:val="24"/>
          <w:lang w:eastAsia="zh-CN"/>
          <w14:textFill>
            <w14:solidFill>
              <w14:schemeClr w14:val="tx1"/>
            </w14:solidFill>
          </w14:textFill>
        </w:rPr>
        <w:t>。</w:t>
      </w:r>
    </w:p>
    <w:p w14:paraId="35655CFB">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lang w:eastAsia="zh-CN"/>
          <w14:textFill>
            <w14:solidFill>
              <w14:schemeClr w14:val="tx1"/>
            </w14:solidFill>
          </w14:textFill>
        </w:rPr>
        <w:t>九</w:t>
      </w:r>
      <w:r>
        <w:rPr>
          <w:rFonts w:hint="eastAsia" w:ascii="Times New Roman" w:hAnsi="Times New Roman" w:eastAsia="宋体" w:cs="Times New Roman"/>
          <w:color w:val="000000" w:themeColor="text1"/>
          <w:sz w:val="24"/>
          <w14:textFill>
            <w14:solidFill>
              <w14:schemeClr w14:val="tx1"/>
            </w14:solidFill>
          </w14:textFill>
        </w:rPr>
        <w:t>）买受人应在本合同的租期届满或提前解除合同后的10日内返还所租赁标的</w:t>
      </w:r>
      <w:r>
        <w:rPr>
          <w:rFonts w:hint="eastAsia" w:ascii="Times New Roman" w:hAnsi="Times New Roman" w:eastAsia="宋体" w:cs="Times New Roman"/>
          <w:color w:val="000000" w:themeColor="text1"/>
          <w:sz w:val="24"/>
          <w:lang w:eastAsia="zh-CN"/>
          <w14:textFill>
            <w14:solidFill>
              <w14:schemeClr w14:val="tx1"/>
            </w14:solidFill>
          </w14:textFill>
        </w:rPr>
        <w:t>物</w:t>
      </w:r>
      <w:r>
        <w:rPr>
          <w:rFonts w:hint="eastAsia" w:ascii="Times New Roman" w:hAnsi="Times New Roman" w:eastAsia="宋体" w:cs="Times New Roman"/>
          <w:color w:val="000000" w:themeColor="text1"/>
          <w:sz w:val="24"/>
          <w14:textFill>
            <w14:solidFill>
              <w14:schemeClr w14:val="tx1"/>
            </w14:solidFill>
          </w14:textFill>
        </w:rPr>
        <w:t>及其附属设施，买受人有权将自行添置的可移动部分各类财产收回自行处理，但固定装饰物（指装饰在固定建筑物上，与建筑物不可分离的部分，包括中央空调）所有权归委托人所有，买受人不得拆除，且委托人不作任何经济补偿。超过10日的，委托人有权对所租赁标的及其附属设施自行处理，对逾期未搬的物品，委托人有权以废弃物予以处理。</w:t>
      </w:r>
    </w:p>
    <w:p w14:paraId="3C450D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买受人</w:t>
      </w:r>
      <w:r>
        <w:rPr>
          <w:rFonts w:hint="eastAsia" w:ascii="Times New Roman" w:hAnsi="Times New Roman" w:eastAsia="宋体" w:cs="Times New Roman"/>
          <w:color w:val="000000" w:themeColor="text1"/>
          <w:sz w:val="24"/>
          <w14:textFill>
            <w14:solidFill>
              <w14:schemeClr w14:val="tx1"/>
            </w14:solidFill>
          </w14:textFill>
        </w:rPr>
        <w:t>返还标的</w:t>
      </w:r>
      <w:r>
        <w:rPr>
          <w:rFonts w:hint="eastAsia" w:ascii="Times New Roman" w:hAnsi="Times New Roman" w:eastAsia="宋体" w:cs="Times New Roman"/>
          <w:color w:val="000000" w:themeColor="text1"/>
          <w:sz w:val="24"/>
          <w:lang w:eastAsia="zh-CN"/>
          <w14:textFill>
            <w14:solidFill>
              <w14:schemeClr w14:val="tx1"/>
            </w14:solidFill>
          </w14:textFill>
        </w:rPr>
        <w:t>物</w:t>
      </w:r>
      <w:r>
        <w:rPr>
          <w:rFonts w:hint="eastAsia" w:ascii="Times New Roman" w:hAnsi="Times New Roman" w:eastAsia="宋体" w:cs="Times New Roman"/>
          <w:color w:val="000000" w:themeColor="text1"/>
          <w:sz w:val="24"/>
          <w14:textFill>
            <w14:solidFill>
              <w14:schemeClr w14:val="tx1"/>
            </w14:solidFill>
          </w14:textFill>
        </w:rPr>
        <w:t>及其附属设施应当符合正常使用后的状态。返还时，应经</w:t>
      </w:r>
      <w:r>
        <w:rPr>
          <w:rFonts w:hint="eastAsia" w:ascii="Times New Roman" w:hAnsi="Times New Roman" w:eastAsia="宋体" w:cs="Times New Roman"/>
          <w:color w:val="000000" w:themeColor="text1"/>
          <w:sz w:val="24"/>
          <w:lang w:eastAsia="zh-CN"/>
          <w14:textFill>
            <w14:solidFill>
              <w14:schemeClr w14:val="tx1"/>
            </w14:solidFill>
          </w14:textFill>
        </w:rPr>
        <w:t>委托人</w:t>
      </w:r>
      <w:r>
        <w:rPr>
          <w:rFonts w:hint="eastAsia" w:ascii="Times New Roman" w:hAnsi="Times New Roman" w:eastAsia="宋体" w:cs="Times New Roman"/>
          <w:color w:val="000000" w:themeColor="text1"/>
          <w:sz w:val="24"/>
          <w14:textFill>
            <w14:solidFill>
              <w14:schemeClr w14:val="tx1"/>
            </w14:solidFill>
          </w14:textFill>
        </w:rPr>
        <w:t>验收签字认可，并相互结清各自应当承担的费用。</w:t>
      </w:r>
    </w:p>
    <w:p w14:paraId="0889AF16">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（十）其他内容详见《</w:t>
      </w:r>
      <w:r>
        <w:rPr>
          <w:rFonts w:hint="eastAsia" w:ascii="Times New Roman" w:hAnsi="Times New Roman" w:eastAsia="宋体" w:cs="Times New Roman"/>
          <w:color w:val="000000" w:themeColor="text1"/>
          <w:sz w:val="24"/>
          <w:lang w:eastAsia="zh-CN"/>
          <w14:textFill>
            <w14:solidFill>
              <w14:schemeClr w14:val="tx1"/>
            </w14:solidFill>
          </w14:textFill>
        </w:rPr>
        <w:t>房屋租赁合同</w:t>
      </w:r>
      <w:r>
        <w:rPr>
          <w:rFonts w:hint="eastAsia" w:ascii="Times New Roman" w:hAnsi="Times New Roman" w:eastAsia="宋体" w:cs="Times New Roman"/>
          <w:color w:val="000000" w:themeColor="text1"/>
          <w:sz w:val="24"/>
          <w14:textFill>
            <w14:solidFill>
              <w14:schemeClr w14:val="tx1"/>
            </w14:solidFill>
          </w14:textFill>
        </w:rPr>
        <w:t>（样本）》。</w:t>
      </w:r>
    </w:p>
    <w:p w14:paraId="00435EF4">
      <w:pPr>
        <w:keepNext w:val="0"/>
        <w:keepLines w:val="0"/>
        <w:pageBreakBefore w:val="0"/>
        <w:widowControl w:val="0"/>
        <w:kinsoku/>
        <w:wordWrap/>
        <w:overflowPunct/>
        <w:topLinePunct w:val="0"/>
        <w:autoSpaceDE/>
        <w:autoSpaceDN/>
        <w:bidi w:val="0"/>
        <w:adjustRightInd/>
        <w:snapToGrid/>
        <w:spacing w:before="157" w:beforeLines="50" w:after="156" w:afterLines="50" w:line="48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拍卖前期活动</w:t>
      </w:r>
    </w:p>
    <w:p w14:paraId="0984B6EE">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第六条 </w:t>
      </w:r>
      <w:r>
        <w:rPr>
          <w:rFonts w:hint="eastAsia" w:ascii="宋体" w:hAnsi="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7FA30658">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587BB369">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eastAsia" w:ascii="宋体" w:hAnsi="宋体"/>
          <w:color w:val="auto"/>
          <w:sz w:val="24"/>
        </w:rPr>
        <w:t>在拍卖会举行前，如</w:t>
      </w:r>
      <w:r>
        <w:rPr>
          <w:rFonts w:hint="eastAsia" w:ascii="宋体" w:hAnsi="宋体"/>
          <w:color w:val="auto"/>
          <w:sz w:val="24"/>
          <w:lang w:eastAsia="zh-CN"/>
        </w:rPr>
        <w:t>委托人</w:t>
      </w:r>
      <w:r>
        <w:rPr>
          <w:rFonts w:hint="eastAsia" w:ascii="宋体" w:hAnsi="宋体"/>
          <w:color w:val="auto"/>
          <w:sz w:val="24"/>
        </w:rPr>
        <w:t>决定中止、暂缓或终止委托拍卖的，则竞买人应当无条件的予以接受，交纳的竞买保证金予以退还(按银行同期活期存款利率计息），</w:t>
      </w:r>
      <w:r>
        <w:rPr>
          <w:rFonts w:hint="eastAsia" w:ascii="宋体" w:hAnsi="宋体"/>
          <w:color w:val="auto"/>
          <w:sz w:val="24"/>
          <w:lang w:eastAsia="zh-CN"/>
        </w:rPr>
        <w:t>委托人</w:t>
      </w:r>
      <w:r>
        <w:rPr>
          <w:rFonts w:hint="eastAsia" w:ascii="宋体" w:hAnsi="宋体"/>
          <w:color w:val="auto"/>
          <w:sz w:val="24"/>
        </w:rPr>
        <w:t>和拍卖人不承担竞买人的一切损失。</w:t>
      </w:r>
    </w:p>
    <w:p w14:paraId="61A7DA6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color w:val="auto"/>
          <w:sz w:val="24"/>
        </w:rPr>
      </w:pPr>
      <w:r>
        <w:rPr>
          <w:rFonts w:hint="eastAsia" w:ascii="宋体" w:hAnsi="宋体"/>
          <w:b/>
          <w:bCs/>
          <w:color w:val="auto"/>
          <w:sz w:val="24"/>
          <w:lang w:eastAsia="zh-CN"/>
        </w:rPr>
        <w:t>第七条</w:t>
      </w:r>
      <w:r>
        <w:rPr>
          <w:rFonts w:hint="eastAsia" w:ascii="宋体" w:hAnsi="宋体"/>
          <w:color w:val="auto"/>
          <w:sz w:val="24"/>
          <w:lang w:val="en-US" w:eastAsia="zh-CN"/>
        </w:rPr>
        <w:t xml:space="preserve">  </w:t>
      </w:r>
      <w:r>
        <w:rPr>
          <w:rFonts w:hint="eastAsia" w:ascii="宋体" w:hAnsi="宋体"/>
          <w:color w:val="auto"/>
          <w:sz w:val="24"/>
        </w:rPr>
        <w:t>竞买人应在报名登记前按时、足额交纳竞买保证金（按银行同期活期存款利率计息）。</w:t>
      </w:r>
    </w:p>
    <w:p w14:paraId="2A532DA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auto"/>
          <w:sz w:val="24"/>
        </w:rPr>
      </w:pPr>
      <w:r>
        <w:rPr>
          <w:rFonts w:hint="default" w:ascii="宋体" w:hAnsi="宋体"/>
          <w:sz w:val="24"/>
        </w:rPr>
        <w:t>竞买人所领取的竞买保证金收据是参加拍卖活动的重要依据，应自行慎重处置，若因转交他人或遗失等产生的结果及可能导致的纠纷和经济损失，均由收据中注明的竞买人自行负全责</w:t>
      </w:r>
      <w:r>
        <w:rPr>
          <w:rFonts w:hint="eastAsia" w:ascii="宋体" w:hAnsi="宋体"/>
          <w:color w:val="auto"/>
          <w:sz w:val="24"/>
        </w:rPr>
        <w:t>，与拍卖人无涉。</w:t>
      </w:r>
    </w:p>
    <w:p w14:paraId="546097F1">
      <w:pPr>
        <w:keepNext w:val="0"/>
        <w:keepLines w:val="0"/>
        <w:pageBreakBefore w:val="0"/>
        <w:widowControl w:val="0"/>
        <w:kinsoku/>
        <w:wordWrap/>
        <w:overflowPunct/>
        <w:topLinePunct w:val="0"/>
        <w:autoSpaceDE/>
        <w:autoSpaceDN/>
        <w:bidi w:val="0"/>
        <w:adjustRightInd/>
        <w:snapToGrid/>
        <w:spacing w:before="124" w:beforeLines="40" w:after="124" w:afterLines="40" w:line="480" w:lineRule="exact"/>
        <w:ind w:left="-178" w:leftChars="-85" w:right="-178" w:rightChars="-85"/>
        <w:jc w:val="center"/>
        <w:textAlignment w:val="auto"/>
        <w:rPr>
          <w:rFonts w:hint="eastAsia" w:ascii="宋体" w:hAnsi="宋体"/>
          <w:b/>
          <w:sz w:val="28"/>
          <w:szCs w:val="28"/>
        </w:rPr>
      </w:pPr>
      <w:r>
        <w:rPr>
          <w:rFonts w:hint="default" w:ascii="宋体" w:hAnsi="宋体"/>
          <w:b/>
          <w:sz w:val="28"/>
          <w:szCs w:val="28"/>
        </w:rPr>
        <w:t>拍卖会</w:t>
      </w:r>
    </w:p>
    <w:p w14:paraId="3F4B5A3C">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80" w:lineRule="exact"/>
        <w:ind w:right="0" w:rightChars="0" w:firstLine="482" w:firstLineChars="200"/>
        <w:textAlignment w:val="auto"/>
        <w:rPr>
          <w:rFonts w:hint="default" w:ascii="宋体" w:hAnsi="宋体"/>
          <w:sz w:val="24"/>
        </w:rPr>
      </w:pPr>
      <w:r>
        <w:rPr>
          <w:rFonts w:hint="eastAsia" w:ascii="宋体" w:hAnsi="宋体"/>
          <w:b/>
          <w:bCs/>
          <w:sz w:val="24"/>
          <w:lang w:val="en-US" w:eastAsia="zh-CN"/>
        </w:rPr>
        <w:t xml:space="preserve">第八条  </w:t>
      </w:r>
      <w:r>
        <w:rPr>
          <w:rFonts w:hint="eastAsia" w:ascii="宋体" w:hAnsi="宋体" w:eastAsia="宋体" w:cs="Times New Roman"/>
          <w:color w:val="auto"/>
          <w:sz w:val="24"/>
          <w:u w:val="none"/>
          <w:lang w:eastAsia="zh-CN"/>
        </w:rPr>
        <w:t>本次拍卖标的经过规定的网络发布公告，并经实地展示</w:t>
      </w:r>
      <w:r>
        <w:rPr>
          <w:rFonts w:hint="default" w:ascii="宋体" w:hAnsi="宋体"/>
          <w:sz w:val="24"/>
        </w:rPr>
        <w:t>，由拍卖人主持，并在相关当事人和监管部门监督下进行。</w:t>
      </w:r>
      <w:r>
        <w:rPr>
          <w:rFonts w:hint="default" w:ascii="宋体" w:hAnsi="宋体"/>
          <w:b/>
          <w:bCs/>
          <w:sz w:val="24"/>
        </w:rPr>
        <w:t>竞买人凭身份证明及竞买保证金收据登记入场，每一个号牌限进</w:t>
      </w:r>
      <w:r>
        <w:rPr>
          <w:rFonts w:hint="eastAsia" w:ascii="宋体" w:hAnsi="宋体"/>
          <w:b/>
          <w:bCs/>
          <w:sz w:val="24"/>
          <w:lang w:val="en-US" w:eastAsia="zh-CN"/>
        </w:rPr>
        <w:t>2</w:t>
      </w:r>
      <w:r>
        <w:rPr>
          <w:rFonts w:hint="default" w:ascii="宋体" w:hAnsi="宋体"/>
          <w:b/>
          <w:bCs/>
          <w:sz w:val="24"/>
        </w:rPr>
        <w:t>人。</w:t>
      </w:r>
      <w:r>
        <w:rPr>
          <w:rFonts w:hint="default" w:ascii="宋体" w:hAnsi="宋体"/>
          <w:sz w:val="24"/>
        </w:rPr>
        <w:t>在拍卖会现场，任何举牌应价的行为均视为竞买人本人的意思，其后果均由号牌对应的竞买人承担。如参加现场拍卖的为非报名者本人，则须提交报名者亲笔签名的授权委托书（本授权书应标明授权范围，包括现场举牌应价、拍卖成交确认书和拍卖笔录的签署等）同时被授权人须出示身份证原件，提交身份证复印件。</w:t>
      </w:r>
    </w:p>
    <w:p w14:paraId="3685C07B">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80" w:lineRule="exact"/>
        <w:ind w:right="-178" w:rightChars="-85" w:firstLine="482" w:firstLineChars="200"/>
        <w:textAlignment w:val="auto"/>
        <w:rPr>
          <w:rFonts w:hint="eastAsia" w:ascii="宋体" w:hAnsi="宋体"/>
          <w:b/>
          <w:bCs/>
          <w:sz w:val="24"/>
        </w:rPr>
      </w:pPr>
      <w:r>
        <w:rPr>
          <w:rFonts w:hint="default" w:ascii="宋体" w:hAnsi="宋体"/>
          <w:b/>
          <w:bCs/>
          <w:sz w:val="24"/>
        </w:rPr>
        <w:t>注：一个委托代理人只能接受一个竞买人的委托，且竞买人之间不得相互委托。</w:t>
      </w:r>
    </w:p>
    <w:p w14:paraId="68718828">
      <w:pPr>
        <w:keepNext w:val="0"/>
        <w:keepLines w:val="0"/>
        <w:pageBreakBefore w:val="0"/>
        <w:widowControl w:val="0"/>
        <w:tabs>
          <w:tab w:val="left" w:pos="1995"/>
        </w:tabs>
        <w:kinsoku/>
        <w:wordWrap/>
        <w:overflowPunct/>
        <w:topLinePunct w:val="0"/>
        <w:autoSpaceDE/>
        <w:autoSpaceDN/>
        <w:bidi w:val="0"/>
        <w:adjustRightInd/>
        <w:snapToGrid/>
        <w:spacing w:line="480" w:lineRule="exact"/>
        <w:ind w:left="0" w:leftChars="0" w:right="-178" w:rightChars="-85" w:firstLine="482" w:firstLineChars="200"/>
        <w:textAlignment w:val="auto"/>
        <w:rPr>
          <w:rFonts w:hint="eastAsia" w:ascii="宋体" w:hAnsi="宋体"/>
          <w:sz w:val="24"/>
        </w:rPr>
      </w:pPr>
      <w:r>
        <w:rPr>
          <w:rFonts w:hint="default" w:ascii="宋体" w:hAnsi="宋体"/>
          <w:b/>
          <w:bCs/>
          <w:sz w:val="24"/>
        </w:rPr>
        <w:t>第九条</w:t>
      </w:r>
      <w:r>
        <w:rPr>
          <w:rFonts w:hint="eastAsia" w:ascii="宋体" w:hAnsi="宋体"/>
          <w:b/>
          <w:bCs/>
          <w:sz w:val="24"/>
          <w:lang w:val="en-US" w:eastAsia="zh-CN"/>
        </w:rPr>
        <w:t xml:space="preserve"> </w:t>
      </w:r>
      <w:r>
        <w:rPr>
          <w:rFonts w:hint="default" w:ascii="宋体" w:hAnsi="宋体"/>
          <w:sz w:val="24"/>
        </w:rPr>
        <w:t xml:space="preserve"> 竞买人一旦进入了拍卖会场，即表明已完全了解</w:t>
      </w:r>
      <w:r>
        <w:rPr>
          <w:rFonts w:hint="eastAsia" w:ascii="宋体" w:hAnsi="宋体"/>
          <w:sz w:val="24"/>
          <w:lang w:eastAsia="zh-CN"/>
        </w:rPr>
        <w:t>拍卖标的</w:t>
      </w:r>
      <w:r>
        <w:rPr>
          <w:rFonts w:hint="default" w:ascii="宋体" w:hAnsi="宋体"/>
          <w:sz w:val="24"/>
        </w:rPr>
        <w:t>的一切现状，接受</w:t>
      </w:r>
      <w:r>
        <w:rPr>
          <w:rFonts w:hint="eastAsia" w:ascii="宋体" w:hAnsi="宋体"/>
          <w:sz w:val="24"/>
          <w:lang w:eastAsia="zh-CN"/>
        </w:rPr>
        <w:t>拍卖标的</w:t>
      </w:r>
      <w:r>
        <w:rPr>
          <w:rFonts w:hint="default" w:ascii="宋体" w:hAnsi="宋体"/>
          <w:sz w:val="24"/>
        </w:rPr>
        <w:t>已知和未知的瑕疵、缺陷，对自己参加竞买的行为及其后对</w:t>
      </w:r>
      <w:r>
        <w:rPr>
          <w:rFonts w:hint="eastAsia" w:ascii="宋体" w:hAnsi="宋体"/>
          <w:sz w:val="24"/>
          <w:lang w:eastAsia="zh-CN"/>
        </w:rPr>
        <w:t>拍卖标的</w:t>
      </w:r>
      <w:r>
        <w:rPr>
          <w:rFonts w:hint="default" w:ascii="宋体" w:hAnsi="宋体"/>
          <w:sz w:val="24"/>
        </w:rPr>
        <w:t>的权利行使期间之各种风险、状态，自行承担法律责任。</w:t>
      </w:r>
    </w:p>
    <w:p w14:paraId="39B5B044">
      <w:pPr>
        <w:keepNext w:val="0"/>
        <w:keepLines w:val="0"/>
        <w:pageBreakBefore w:val="0"/>
        <w:widowControl w:val="0"/>
        <w:tabs>
          <w:tab w:val="left" w:pos="1995"/>
        </w:tabs>
        <w:kinsoku/>
        <w:wordWrap/>
        <w:overflowPunct/>
        <w:topLinePunct w:val="0"/>
        <w:autoSpaceDE/>
        <w:autoSpaceDN/>
        <w:bidi w:val="0"/>
        <w:adjustRightInd/>
        <w:snapToGrid/>
        <w:spacing w:line="480" w:lineRule="exact"/>
        <w:ind w:right="0" w:rightChars="0" w:firstLine="482" w:firstLineChars="200"/>
        <w:textAlignment w:val="auto"/>
        <w:rPr>
          <w:rFonts w:hint="eastAsia" w:ascii="宋体" w:hAnsi="宋体"/>
          <w:sz w:val="24"/>
        </w:rPr>
      </w:pPr>
      <w:r>
        <w:rPr>
          <w:rFonts w:hint="default" w:ascii="宋体" w:hAnsi="宋体"/>
          <w:b/>
          <w:bCs/>
          <w:sz w:val="24"/>
        </w:rPr>
        <w:t>第十条</w:t>
      </w:r>
      <w:r>
        <w:rPr>
          <w:rFonts w:hint="default" w:ascii="宋体" w:hAnsi="宋体"/>
          <w:sz w:val="24"/>
        </w:rPr>
        <w:t xml:space="preserve"> </w:t>
      </w:r>
      <w:r>
        <w:rPr>
          <w:rFonts w:hint="eastAsia" w:ascii="宋体" w:hAnsi="宋体"/>
          <w:sz w:val="24"/>
          <w:lang w:val="en-US" w:eastAsia="zh-CN"/>
        </w:rPr>
        <w:t xml:space="preserve"> </w:t>
      </w:r>
      <w:r>
        <w:rPr>
          <w:rFonts w:hint="default" w:ascii="宋体" w:hAnsi="宋体"/>
          <w:b/>
          <w:bCs/>
          <w:sz w:val="24"/>
        </w:rPr>
        <w:t>本次拍卖采用“现场</w:t>
      </w:r>
      <w:r>
        <w:rPr>
          <w:rFonts w:hint="eastAsia" w:ascii="宋体" w:hAnsi="宋体"/>
          <w:b/>
          <w:bCs/>
          <w:sz w:val="24"/>
          <w:lang w:eastAsia="zh-CN"/>
        </w:rPr>
        <w:t>拍卖</w:t>
      </w:r>
      <w:r>
        <w:rPr>
          <w:rFonts w:hint="default" w:ascii="宋体" w:hAnsi="宋体"/>
          <w:b/>
          <w:bCs/>
          <w:sz w:val="24"/>
        </w:rPr>
        <w:t>”的方式，价高者得的原则</w:t>
      </w:r>
      <w:r>
        <w:rPr>
          <w:rFonts w:hint="eastAsia" w:ascii="宋体" w:hAnsi="宋体"/>
          <w:b/>
          <w:bCs/>
          <w:sz w:val="24"/>
          <w:lang w:eastAsia="zh-CN"/>
        </w:rPr>
        <w:t>，产生最终买受人</w:t>
      </w:r>
      <w:r>
        <w:rPr>
          <w:rFonts w:hint="default" w:ascii="宋体" w:hAnsi="宋体"/>
          <w:b/>
          <w:bCs/>
          <w:sz w:val="24"/>
        </w:rPr>
        <w:t>。</w:t>
      </w:r>
    </w:p>
    <w:p w14:paraId="6B88C834">
      <w:pPr>
        <w:keepNext w:val="0"/>
        <w:keepLines w:val="0"/>
        <w:pageBreakBefore w:val="0"/>
        <w:widowControl w:val="0"/>
        <w:tabs>
          <w:tab w:val="left" w:pos="1995"/>
        </w:tabs>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宋体" w:hAnsi="宋体"/>
          <w:sz w:val="24"/>
        </w:rPr>
      </w:pPr>
      <w:r>
        <w:rPr>
          <w:rFonts w:hint="default" w:ascii="宋体" w:hAnsi="宋体"/>
          <w:sz w:val="24"/>
        </w:rPr>
        <w:t>竞买过程中，竞买人及与会人员应严格遵守拍卖会的会场秩序。若发现竞买人恶意串通、操纵竞价或弄虚作假的行为，将取消其竞买资格并按《拍卖法》规定由竞买人承担相应的赔偿责任。竞买人一经应价，不得反悔，否则竞买人的竞买保证金不予返还，并且将承担由此引起的其他法律责任。竞买人如中途退场，将视为放弃竞买，不影响拍卖会的继续进行。</w:t>
      </w:r>
    </w:p>
    <w:p w14:paraId="0150A036">
      <w:pPr>
        <w:keepNext w:val="0"/>
        <w:keepLines w:val="0"/>
        <w:pageBreakBefore w:val="0"/>
        <w:widowControl w:val="0"/>
        <w:tabs>
          <w:tab w:val="left" w:pos="1995"/>
        </w:tabs>
        <w:kinsoku/>
        <w:wordWrap/>
        <w:overflowPunct/>
        <w:topLinePunct w:val="0"/>
        <w:autoSpaceDE/>
        <w:autoSpaceDN/>
        <w:bidi w:val="0"/>
        <w:adjustRightInd/>
        <w:snapToGrid/>
        <w:spacing w:line="480" w:lineRule="exact"/>
        <w:ind w:right="-178" w:rightChars="-85" w:firstLine="482" w:firstLineChars="200"/>
        <w:textAlignment w:val="auto"/>
        <w:rPr>
          <w:rFonts w:hint="eastAsia" w:ascii="宋体" w:hAnsi="宋体"/>
          <w:sz w:val="24"/>
        </w:rPr>
      </w:pPr>
      <w:r>
        <w:rPr>
          <w:rFonts w:hint="default" w:ascii="宋体" w:hAnsi="宋体"/>
          <w:b/>
          <w:bCs/>
          <w:sz w:val="24"/>
        </w:rPr>
        <w:t>第十一条</w:t>
      </w:r>
      <w:r>
        <w:rPr>
          <w:rFonts w:hint="default" w:ascii="宋体" w:hAnsi="宋体"/>
          <w:sz w:val="24"/>
        </w:rPr>
        <w:t xml:space="preserve"> </w:t>
      </w:r>
      <w:r>
        <w:rPr>
          <w:rFonts w:hint="eastAsia" w:ascii="宋体" w:hAnsi="宋体"/>
          <w:b/>
          <w:bCs/>
          <w:sz w:val="24"/>
          <w:lang w:val="en-US" w:eastAsia="zh-CN"/>
        </w:rPr>
        <w:t xml:space="preserve"> </w:t>
      </w:r>
      <w:r>
        <w:rPr>
          <w:rFonts w:hint="default" w:ascii="宋体" w:hAnsi="宋体"/>
          <w:b/>
          <w:bCs/>
          <w:sz w:val="24"/>
        </w:rPr>
        <w:t>本次拍卖会举牌须知如下：</w:t>
      </w:r>
    </w:p>
    <w:p w14:paraId="37A45D47">
      <w:pPr>
        <w:keepNext w:val="0"/>
        <w:keepLines w:val="0"/>
        <w:pageBreakBefore w:val="0"/>
        <w:widowControl w:val="0"/>
        <w:tabs>
          <w:tab w:val="left" w:pos="1995"/>
        </w:tabs>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宋体" w:hAnsi="宋体"/>
          <w:sz w:val="24"/>
        </w:rPr>
      </w:pPr>
      <w:r>
        <w:rPr>
          <w:rFonts w:hint="default" w:ascii="宋体" w:hAnsi="宋体"/>
          <w:sz w:val="24"/>
        </w:rPr>
        <w:t>本次拍卖标的设有保留价，不达到保留价不成交。保留价对外公开，保留价即为起拍价。拍卖计价货币为人民币。拍卖时的起拍价和成交价均为裸价，不包含</w:t>
      </w:r>
      <w:r>
        <w:rPr>
          <w:rFonts w:hint="eastAsia" w:ascii="宋体" w:hAnsi="宋体"/>
          <w:sz w:val="24"/>
          <w:lang w:eastAsia="zh-CN"/>
        </w:rPr>
        <w:t>任何</w:t>
      </w:r>
      <w:r>
        <w:rPr>
          <w:rFonts w:hint="default" w:ascii="宋体" w:hAnsi="宋体"/>
          <w:sz w:val="24"/>
        </w:rPr>
        <w:t>税</w:t>
      </w:r>
      <w:r>
        <w:rPr>
          <w:rFonts w:hint="eastAsia" w:ascii="宋体" w:hAnsi="宋体"/>
          <w:sz w:val="24"/>
          <w:lang w:eastAsia="zh-CN"/>
        </w:rPr>
        <w:t>、</w:t>
      </w:r>
      <w:r>
        <w:rPr>
          <w:rFonts w:hint="default" w:ascii="宋体" w:hAnsi="宋体"/>
          <w:sz w:val="24"/>
        </w:rPr>
        <w:t>费及买受佣金。</w:t>
      </w:r>
    </w:p>
    <w:p w14:paraId="570A4A53">
      <w:pPr>
        <w:keepNext w:val="0"/>
        <w:keepLines w:val="0"/>
        <w:pageBreakBefore w:val="0"/>
        <w:widowControl w:val="0"/>
        <w:tabs>
          <w:tab w:val="left" w:pos="1995"/>
        </w:tabs>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宋体" w:hAnsi="宋体" w:eastAsia="宋体" w:cs="Times New Roman"/>
          <w:sz w:val="24"/>
        </w:rPr>
      </w:pPr>
      <w:r>
        <w:rPr>
          <w:rFonts w:hint="default" w:ascii="宋体" w:hAnsi="宋体"/>
          <w:sz w:val="24"/>
        </w:rPr>
        <w:t>拍卖时，先由拍卖师宣布起拍价，然后报出加价幅度。竞买人可举牌应价或按规定的加价幅度</w:t>
      </w:r>
      <w:r>
        <w:rPr>
          <w:rFonts w:hint="default" w:ascii="宋体" w:hAnsi="宋体" w:eastAsia="宋体" w:cs="Times New Roman"/>
          <w:sz w:val="24"/>
        </w:rPr>
        <w:t>竞价，也可自行报价。应价、报价须等于或者高于规定的加价幅度（且必须为加价幅度的整数倍），低于加价幅度的应价、报价无效；若场上出现二人以上同时举牌应价，拍卖师可指定其中一人并确认其应价有效。同时，拍卖师有权根据现场情况随时调整加价幅度。当会场上出现唯一的最高价格，且无人继续加价后，经拍卖师确认达到或超过保留价，落槌表示拍卖成交。</w:t>
      </w:r>
    </w:p>
    <w:p w14:paraId="0AF3B0F8">
      <w:pPr>
        <w:keepNext w:val="0"/>
        <w:keepLines w:val="0"/>
        <w:pageBreakBefore w:val="0"/>
        <w:widowControl w:val="0"/>
        <w:tabs>
          <w:tab w:val="left" w:pos="1995"/>
        </w:tabs>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宋体" w:hAnsi="宋体" w:eastAsia="宋体" w:cs="Times New Roman"/>
          <w:sz w:val="24"/>
        </w:rPr>
      </w:pPr>
      <w:r>
        <w:rPr>
          <w:rFonts w:hint="eastAsia" w:ascii="宋体" w:hAnsi="宋体" w:eastAsia="宋体" w:cs="Times New Roman"/>
          <w:sz w:val="24"/>
        </w:rPr>
        <w:t>若</w:t>
      </w:r>
      <w:r>
        <w:rPr>
          <w:rFonts w:hint="eastAsia" w:ascii="宋体" w:hAnsi="宋体" w:eastAsia="宋体" w:cs="Times New Roman"/>
          <w:sz w:val="24"/>
          <w:lang w:eastAsia="zh-CN"/>
        </w:rPr>
        <w:t>本次拍卖</w:t>
      </w:r>
      <w:r>
        <w:rPr>
          <w:rFonts w:hint="eastAsia" w:ascii="宋体" w:hAnsi="宋体" w:eastAsia="宋体" w:cs="Times New Roman"/>
          <w:sz w:val="24"/>
        </w:rPr>
        <w:t>有优先权人参加，当会场上出现唯一的最高价格，</w:t>
      </w:r>
      <w:r>
        <w:rPr>
          <w:rFonts w:hint="eastAsia" w:ascii="宋体" w:hAnsi="宋体" w:eastAsia="宋体" w:cs="Times New Roman"/>
          <w:sz w:val="24"/>
          <w:lang w:eastAsia="zh-CN"/>
        </w:rPr>
        <w:t>拍卖师</w:t>
      </w:r>
      <w:r>
        <w:rPr>
          <w:rFonts w:hint="eastAsia" w:ascii="宋体" w:hAnsi="宋体" w:eastAsia="宋体" w:cs="Times New Roman"/>
          <w:sz w:val="24"/>
        </w:rPr>
        <w:t>应征得优先权人的意见后落槌，优先权人可以表示以该最高价买受，如无更高应价，则买受人为优先权人；如有更高应价，而优先权人不作表示的，则买受人为该应价最高的竞买人。</w:t>
      </w:r>
    </w:p>
    <w:p w14:paraId="1F82FA63">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80" w:lineRule="exact"/>
        <w:ind w:right="-178" w:rightChars="-85" w:firstLine="482" w:firstLineChars="200"/>
        <w:textAlignment w:val="auto"/>
        <w:rPr>
          <w:rFonts w:hint="eastAsia" w:ascii="宋体" w:hAnsi="宋体" w:eastAsia="宋体" w:cs="Times New Roman"/>
          <w:color w:val="auto"/>
          <w:sz w:val="24"/>
          <w:u w:val="none"/>
          <w:lang w:eastAsia="zh-CN"/>
        </w:rPr>
      </w:pPr>
      <w:r>
        <w:rPr>
          <w:rFonts w:hint="eastAsia" w:ascii="宋体" w:hAnsi="宋体" w:eastAsia="宋体" w:cs="Times New Roman"/>
          <w:b/>
          <w:bCs/>
          <w:color w:val="auto"/>
          <w:sz w:val="24"/>
          <w:u w:val="none"/>
          <w:lang w:val="en-US" w:eastAsia="zh-CN"/>
        </w:rPr>
        <w:t xml:space="preserve">第十二条  </w:t>
      </w:r>
      <w:r>
        <w:rPr>
          <w:rFonts w:hint="default" w:ascii="宋体" w:hAnsi="宋体"/>
          <w:sz w:val="24"/>
        </w:rPr>
        <w:t>买受人是指以最高有效应价竞得拍卖标的</w:t>
      </w:r>
      <w:r>
        <w:rPr>
          <w:rFonts w:hint="eastAsia" w:ascii="宋体" w:hAnsi="宋体"/>
          <w:sz w:val="24"/>
          <w:lang w:eastAsia="zh-CN"/>
        </w:rPr>
        <w:t>的</w:t>
      </w:r>
      <w:r>
        <w:rPr>
          <w:rFonts w:hint="default" w:ascii="宋体" w:hAnsi="宋体"/>
          <w:sz w:val="24"/>
        </w:rPr>
        <w:t>竞买人。拍卖成交后，买受人须与拍卖人当场签署《拍卖成交确认书》并在《拍卖笔录》上签名或盖章。上述文件不论买受人是否签署，其全部条款即对买受人产生约束力并生效。</w:t>
      </w:r>
    </w:p>
    <w:p w14:paraId="0A76146D">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拍卖后期工作</w:t>
      </w:r>
    </w:p>
    <w:p w14:paraId="4C7764D2">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80" w:lineRule="exact"/>
        <w:ind w:right="-178" w:rightChars="-85" w:firstLine="482" w:firstLineChars="200"/>
        <w:textAlignment w:val="auto"/>
        <w:rPr>
          <w:rFonts w:hint="default" w:ascii="宋体" w:hAnsi="宋体"/>
          <w:sz w:val="24"/>
        </w:rPr>
      </w:pPr>
      <w:r>
        <w:rPr>
          <w:rFonts w:hint="eastAsia" w:ascii="宋体" w:hAnsi="宋体" w:eastAsia="宋体" w:cs="Times New Roman"/>
          <w:b/>
          <w:bCs/>
          <w:color w:val="auto"/>
          <w:sz w:val="24"/>
          <w:u w:val="none"/>
          <w:lang w:val="en-US" w:eastAsia="zh-CN"/>
        </w:rPr>
        <w:t xml:space="preserve">第十三条  </w:t>
      </w:r>
      <w:r>
        <w:rPr>
          <w:rFonts w:hint="default" w:ascii="宋体" w:hAnsi="宋体"/>
          <w:sz w:val="24"/>
        </w:rPr>
        <w:t>拍卖会结束后，由拍卖人当场向买受人发放《拍卖成交确认书》。</w:t>
      </w:r>
    </w:p>
    <w:p w14:paraId="4C16817C">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480" w:lineRule="exact"/>
        <w:ind w:right="-178" w:rightChars="-85" w:firstLine="480" w:firstLineChars="200"/>
        <w:textAlignment w:val="auto"/>
        <w:rPr>
          <w:rFonts w:hint="eastAsia" w:ascii="宋体" w:hAnsi="宋体" w:eastAsia="宋体" w:cs="Times New Roman"/>
          <w:color w:val="auto"/>
          <w:sz w:val="24"/>
          <w:u w:val="none"/>
          <w:lang w:val="en-US" w:eastAsia="zh-CN"/>
        </w:rPr>
      </w:pP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未竞得拍卖标的的竞买人，在拍卖会结束后的3个工作日内，由拍卖人凭竞买人报名时登记的户名及账号退还竞买保证金（按银行同期活期存款利率计息）；买受人的竞买保证金凭《</w:t>
      </w:r>
      <w:r>
        <w:rPr>
          <w:rFonts w:hint="eastAsia" w:ascii="宋体" w:hAnsi="宋体" w:eastAsia="宋体" w:cs="Times New Roman"/>
          <w:color w:val="auto"/>
          <w:sz w:val="24"/>
          <w:u w:val="none"/>
          <w:lang w:val="en-US" w:eastAsia="zh-CN"/>
        </w:rPr>
        <w:t>房屋租赁</w:t>
      </w:r>
      <w:r>
        <w:rPr>
          <w:rFonts w:hint="eastAsia" w:ascii="宋体" w:hAnsi="宋体" w:eastAsia="宋体" w:cs="Times New Roman"/>
          <w:color w:val="auto"/>
          <w:sz w:val="24"/>
          <w:u w:val="none"/>
          <w:lang w:eastAsia="zh-CN"/>
        </w:rPr>
        <w:t>合同》复印件到拍卖人处退还（按银行同期活期存款利率计息）。</w:t>
      </w:r>
      <w:r>
        <w:rPr>
          <w:rFonts w:hint="eastAsia" w:ascii="宋体" w:hAnsi="宋体" w:eastAsia="宋体" w:cs="Times New Roman"/>
          <w:color w:val="auto"/>
          <w:sz w:val="24"/>
          <w:u w:val="none"/>
          <w:lang w:val="en-US" w:eastAsia="zh-CN"/>
        </w:rPr>
        <w:t xml:space="preserve">  </w:t>
      </w:r>
    </w:p>
    <w:p w14:paraId="12196DD1">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b/>
          <w:bCs/>
          <w:color w:val="000000" w:themeColor="text1"/>
          <w:sz w:val="24"/>
          <w14:textFill>
            <w14:solidFill>
              <w14:schemeClr w14:val="tx1"/>
            </w14:solidFill>
          </w14:textFill>
        </w:rPr>
      </w:pPr>
      <w:r>
        <w:rPr>
          <w:rFonts w:hint="eastAsia" w:ascii="宋体" w:hAnsi="宋体" w:eastAsia="宋体" w:cs="Times New Roman"/>
          <w:b/>
          <w:bCs/>
          <w:color w:val="auto"/>
          <w:sz w:val="24"/>
          <w:u w:val="none"/>
          <w:lang w:eastAsia="zh-CN"/>
        </w:rPr>
        <w:t>如未收到竞买保证金的，请及时与拍卖人联系（0574-62727901）。</w:t>
      </w:r>
    </w:p>
    <w:p w14:paraId="6F31B3BB">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第十</w:t>
      </w:r>
      <w:r>
        <w:rPr>
          <w:rFonts w:hint="eastAsia" w:ascii="宋体" w:hAnsi="宋体" w:cs="宋体"/>
          <w:b/>
          <w:color w:val="000000" w:themeColor="text1"/>
          <w:kern w:val="0"/>
          <w:sz w:val="24"/>
          <w:lang w:eastAsia="zh-CN"/>
          <w14:textFill>
            <w14:solidFill>
              <w14:schemeClr w14:val="tx1"/>
            </w14:solidFill>
          </w14:textFill>
        </w:rPr>
        <w:t>四</w:t>
      </w:r>
      <w:r>
        <w:rPr>
          <w:rFonts w:hint="eastAsia" w:ascii="宋体" w:hAnsi="宋体" w:cs="宋体"/>
          <w:b/>
          <w:color w:val="000000" w:themeColor="text1"/>
          <w:kern w:val="0"/>
          <w:sz w:val="24"/>
          <w14:textFill>
            <w14:solidFill>
              <w14:schemeClr w14:val="tx1"/>
            </w14:solidFill>
          </w14:textFill>
        </w:rPr>
        <w:t>条  付款办法及签约时间:</w:t>
      </w:r>
      <w:r>
        <w:rPr>
          <w:rFonts w:hint="eastAsia" w:ascii="宋体" w:hAnsi="宋体" w:cs="宋体"/>
          <w:b/>
          <w:color w:val="000000" w:themeColor="text1"/>
          <w:kern w:val="0"/>
          <w:sz w:val="24"/>
          <w:lang w:val="en-US" w:eastAsia="zh-CN"/>
          <w14:textFill>
            <w14:solidFill>
              <w14:schemeClr w14:val="tx1"/>
            </w14:solidFill>
          </w14:textFill>
        </w:rPr>
        <w:t xml:space="preserve"> </w:t>
      </w:r>
      <w:r>
        <w:rPr>
          <w:rFonts w:hint="eastAsia" w:ascii="宋体" w:hAnsi="宋体" w:cs="宋体"/>
          <w:b w:val="0"/>
          <w:bCs/>
          <w:color w:val="000000"/>
          <w:kern w:val="0"/>
          <w:sz w:val="24"/>
        </w:rPr>
        <w:t>买受人</w:t>
      </w:r>
      <w:r>
        <w:rPr>
          <w:rFonts w:hint="eastAsia" w:ascii="宋体" w:hAnsi="宋体" w:cs="宋体"/>
          <w:bCs/>
          <w:color w:val="000000"/>
          <w:kern w:val="0"/>
          <w:sz w:val="24"/>
        </w:rPr>
        <w:t>须在</w:t>
      </w:r>
      <w:r>
        <w:rPr>
          <w:rFonts w:hint="eastAsia" w:ascii="宋体" w:hAnsi="宋体" w:cs="宋体"/>
          <w:color w:val="000000"/>
          <w:kern w:val="0"/>
          <w:sz w:val="24"/>
          <w:lang w:eastAsia="zh-CN"/>
        </w:rPr>
        <w:t>2025</w:t>
      </w:r>
      <w:r>
        <w:rPr>
          <w:rFonts w:ascii="宋体" w:hAnsi="宋体" w:cs="宋体"/>
          <w:color w:val="000000"/>
          <w:kern w:val="0"/>
          <w:sz w:val="24"/>
        </w:rPr>
        <w:t>年</w:t>
      </w:r>
      <w:r>
        <w:rPr>
          <w:rFonts w:hint="eastAsia" w:ascii="宋体" w:hAnsi="宋体" w:cs="宋体"/>
          <w:color w:val="000000"/>
          <w:kern w:val="0"/>
          <w:sz w:val="24"/>
          <w:lang w:val="en-US" w:eastAsia="zh-CN"/>
        </w:rPr>
        <w:t>7月18日</w:t>
      </w:r>
      <w:r>
        <w:rPr>
          <w:rFonts w:hint="eastAsia" w:ascii="宋体" w:hAnsi="宋体" w:cs="宋体"/>
          <w:color w:val="000000"/>
          <w:kern w:val="0"/>
          <w:sz w:val="24"/>
          <w:lang w:eastAsia="zh-CN"/>
        </w:rPr>
        <w:t>下午</w:t>
      </w:r>
      <w:r>
        <w:rPr>
          <w:rFonts w:hint="eastAsia" w:ascii="宋体" w:hAnsi="宋体" w:cs="宋体"/>
          <w:color w:val="000000"/>
          <w:kern w:val="0"/>
          <w:sz w:val="24"/>
          <w:lang w:val="en-US" w:eastAsia="zh-CN"/>
        </w:rPr>
        <w:t>4时</w:t>
      </w:r>
      <w:r>
        <w:rPr>
          <w:rFonts w:hint="eastAsia" w:ascii="宋体" w:hAnsi="宋体" w:cs="宋体"/>
          <w:color w:val="000000"/>
          <w:kern w:val="0"/>
          <w:sz w:val="24"/>
          <w:lang w:eastAsia="zh-CN"/>
        </w:rPr>
        <w:t>前</w:t>
      </w:r>
      <w:r>
        <w:rPr>
          <w:rFonts w:hint="eastAsia" w:ascii="宋体" w:hAnsi="宋体" w:cs="宋体"/>
          <w:b/>
          <w:bCs/>
          <w:color w:val="auto"/>
          <w:kern w:val="0"/>
          <w:sz w:val="24"/>
        </w:rPr>
        <w:t>（</w:t>
      </w:r>
      <w:r>
        <w:rPr>
          <w:rFonts w:ascii="宋体" w:hAnsi="宋体" w:cs="宋体"/>
          <w:b/>
          <w:bCs/>
          <w:color w:val="auto"/>
          <w:kern w:val="0"/>
          <w:sz w:val="24"/>
        </w:rPr>
        <w:t>以实际到账为准）</w:t>
      </w:r>
      <w:r>
        <w:rPr>
          <w:rFonts w:hint="eastAsia" w:ascii="宋体" w:hAnsi="宋体" w:cs="宋体"/>
          <w:b w:val="0"/>
          <w:bCs w:val="0"/>
          <w:color w:val="auto"/>
          <w:kern w:val="0"/>
          <w:sz w:val="24"/>
          <w:lang w:eastAsia="zh-CN"/>
        </w:rPr>
        <w:t>向</w:t>
      </w:r>
      <w:r>
        <w:rPr>
          <w:rFonts w:hint="eastAsia" w:ascii="宋体" w:hAnsi="宋体" w:cs="宋体"/>
          <w:color w:val="000000"/>
          <w:kern w:val="0"/>
          <w:sz w:val="24"/>
          <w:lang w:eastAsia="zh-CN"/>
        </w:rPr>
        <w:t>拍卖</w:t>
      </w:r>
      <w:r>
        <w:rPr>
          <w:rFonts w:hint="eastAsia" w:ascii="宋体" w:hAnsi="宋体" w:cs="宋体"/>
          <w:color w:val="000000"/>
          <w:kern w:val="0"/>
          <w:sz w:val="24"/>
        </w:rPr>
        <w:t>人</w:t>
      </w:r>
      <w:r>
        <w:rPr>
          <w:rFonts w:ascii="宋体" w:hAnsi="宋体" w:cs="宋体"/>
          <w:color w:val="000000"/>
          <w:kern w:val="0"/>
          <w:sz w:val="24"/>
        </w:rPr>
        <w:t>一次性付清</w:t>
      </w:r>
      <w:r>
        <w:rPr>
          <w:rFonts w:hint="eastAsia" w:ascii="宋体" w:hAnsi="宋体" w:cs="宋体"/>
          <w:color w:val="000000"/>
          <w:kern w:val="0"/>
          <w:sz w:val="24"/>
        </w:rPr>
        <w:t>第1年</w:t>
      </w:r>
      <w:r>
        <w:rPr>
          <w:rFonts w:ascii="宋体" w:hAnsi="宋体" w:cs="宋体"/>
          <w:color w:val="000000"/>
          <w:kern w:val="0"/>
          <w:sz w:val="24"/>
        </w:rPr>
        <w:t>租金成交款</w:t>
      </w:r>
      <w:r>
        <w:rPr>
          <w:rFonts w:hint="eastAsia" w:ascii="宋体" w:hAnsi="宋体" w:cs="宋体"/>
          <w:color w:val="000000"/>
          <w:kern w:val="0"/>
          <w:sz w:val="24"/>
          <w:lang w:eastAsia="zh-CN"/>
        </w:rPr>
        <w:t>和</w:t>
      </w:r>
      <w:r>
        <w:rPr>
          <w:rFonts w:hint="eastAsia" w:ascii="宋体" w:hAnsi="宋体" w:cs="宋体"/>
          <w:color w:val="000000"/>
          <w:kern w:val="0"/>
          <w:sz w:val="24"/>
        </w:rPr>
        <w:t>第1</w:t>
      </w:r>
      <w:r>
        <w:rPr>
          <w:rFonts w:ascii="宋体" w:hAnsi="宋体" w:cs="宋体"/>
          <w:color w:val="000000"/>
          <w:kern w:val="0"/>
          <w:sz w:val="24"/>
        </w:rPr>
        <w:t>年租金成交</w:t>
      </w:r>
      <w:r>
        <w:rPr>
          <w:rFonts w:hint="eastAsia" w:ascii="宋体" w:hAnsi="宋体" w:cs="宋体"/>
          <w:color w:val="000000"/>
          <w:kern w:val="0"/>
          <w:sz w:val="24"/>
        </w:rPr>
        <w:t>价</w:t>
      </w:r>
      <w:r>
        <w:rPr>
          <w:rFonts w:hint="eastAsia" w:ascii="宋体" w:hAnsi="宋体" w:cs="宋体"/>
          <w:color w:val="000000"/>
          <w:kern w:val="0"/>
          <w:sz w:val="24"/>
          <w:lang w:val="en-US" w:eastAsia="zh-CN"/>
        </w:rPr>
        <w:t>5</w:t>
      </w:r>
      <w:r>
        <w:rPr>
          <w:rFonts w:ascii="宋体" w:hAnsi="宋体" w:cs="宋体"/>
          <w:color w:val="000000"/>
          <w:kern w:val="0"/>
          <w:sz w:val="24"/>
        </w:rPr>
        <w:t>%的买受佣金</w:t>
      </w:r>
      <w:r>
        <w:rPr>
          <w:rFonts w:hint="eastAsia" w:ascii="宋体" w:hAnsi="宋体" w:cs="宋体"/>
          <w:color w:val="000000"/>
          <w:kern w:val="0"/>
          <w:sz w:val="24"/>
          <w:lang w:eastAsia="zh-CN"/>
        </w:rPr>
        <w:t>，同时向委托人支付履约保证金</w:t>
      </w:r>
      <w:r>
        <w:rPr>
          <w:rFonts w:hint="eastAsia" w:ascii="宋体" w:hAnsi="宋体" w:cs="宋体"/>
          <w:color w:val="000000"/>
          <w:kern w:val="0"/>
          <w:sz w:val="24"/>
        </w:rPr>
        <w:t>，然后于</w:t>
      </w:r>
      <w:r>
        <w:rPr>
          <w:rFonts w:hint="eastAsia" w:ascii="宋体" w:hAnsi="宋体" w:cs="宋体"/>
          <w:color w:val="000000"/>
          <w:kern w:val="0"/>
          <w:sz w:val="24"/>
          <w:lang w:eastAsia="zh-CN"/>
        </w:rPr>
        <w:t>2025</w:t>
      </w:r>
      <w:r>
        <w:rPr>
          <w:rFonts w:hint="eastAsia" w:ascii="宋体" w:hAnsi="宋体" w:cs="宋体"/>
          <w:color w:val="000000"/>
          <w:kern w:val="0"/>
          <w:sz w:val="24"/>
        </w:rPr>
        <w:t>年</w:t>
      </w:r>
      <w:r>
        <w:rPr>
          <w:rFonts w:hint="eastAsia" w:ascii="宋体" w:hAnsi="宋体" w:cs="宋体"/>
          <w:color w:val="000000"/>
          <w:kern w:val="0"/>
          <w:sz w:val="24"/>
          <w:lang w:val="en-US" w:eastAsia="zh-CN"/>
        </w:rPr>
        <w:t>7月21日-7月22日</w:t>
      </w:r>
      <w:r>
        <w:rPr>
          <w:rFonts w:hint="eastAsia" w:ascii="宋体" w:hAnsi="宋体" w:cs="宋体"/>
          <w:color w:val="auto"/>
          <w:kern w:val="0"/>
          <w:sz w:val="24"/>
          <w:lang w:eastAsia="zh-CN"/>
        </w:rPr>
        <w:t>（上午</w:t>
      </w:r>
      <w:r>
        <w:rPr>
          <w:rFonts w:hint="eastAsia" w:ascii="宋体" w:hAnsi="宋体" w:cs="宋体"/>
          <w:color w:val="auto"/>
          <w:kern w:val="0"/>
          <w:sz w:val="24"/>
          <w:lang w:val="en-US" w:eastAsia="zh-CN"/>
        </w:rPr>
        <w:t>9:00-11:00，下午2:00-4:00，节假日除外</w:t>
      </w:r>
      <w:r>
        <w:rPr>
          <w:rFonts w:hint="eastAsia" w:ascii="宋体" w:hAnsi="宋体" w:cs="宋体"/>
          <w:color w:val="auto"/>
          <w:kern w:val="0"/>
          <w:sz w:val="24"/>
          <w:lang w:eastAsia="zh-CN"/>
        </w:rPr>
        <w:t>）</w:t>
      </w:r>
      <w:r>
        <w:rPr>
          <w:rFonts w:hint="eastAsia" w:ascii="宋体" w:hAnsi="宋体" w:cs="宋体"/>
          <w:color w:val="auto"/>
          <w:kern w:val="0"/>
          <w:sz w:val="24"/>
        </w:rPr>
        <w:t>与委托人签订《</w:t>
      </w:r>
      <w:r>
        <w:rPr>
          <w:rFonts w:hint="eastAsia" w:ascii="宋体" w:hAnsi="宋体" w:cs="宋体"/>
          <w:color w:val="auto"/>
          <w:kern w:val="0"/>
          <w:sz w:val="24"/>
          <w:lang w:eastAsia="zh-CN"/>
        </w:rPr>
        <w:t>房屋租赁</w:t>
      </w:r>
      <w:r>
        <w:rPr>
          <w:rFonts w:hint="eastAsia" w:ascii="宋体" w:hAnsi="宋体" w:cs="宋体"/>
          <w:color w:val="auto"/>
          <w:kern w:val="0"/>
          <w:sz w:val="24"/>
        </w:rPr>
        <w:t>合同》</w:t>
      </w:r>
      <w:r>
        <w:rPr>
          <w:rFonts w:hint="eastAsia" w:ascii="宋体" w:hAnsi="宋体" w:cs="宋体"/>
          <w:kern w:val="0"/>
          <w:sz w:val="24"/>
        </w:rPr>
        <w:t>。</w:t>
      </w:r>
    </w:p>
    <w:p w14:paraId="7DD492E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宋体" w:hAnsi="宋体"/>
          <w:b/>
          <w:bCs/>
          <w:color w:val="000000" w:themeColor="text1"/>
          <w:sz w:val="24"/>
          <w:lang w:eastAsia="zh-CN"/>
          <w14:textFill>
            <w14:solidFill>
              <w14:schemeClr w14:val="tx1"/>
            </w14:solidFill>
          </w14:textFill>
        </w:rPr>
      </w:pPr>
      <w:bookmarkStart w:id="1" w:name="_Hlk122379280"/>
      <w:r>
        <w:rPr>
          <w:rFonts w:hint="eastAsia"/>
          <w:b/>
          <w:color w:val="000000" w:themeColor="text1"/>
          <w:sz w:val="24"/>
          <w:lang w:eastAsia="zh-CN"/>
          <w14:textFill>
            <w14:solidFill>
              <w14:schemeClr w14:val="tx1"/>
            </w14:solidFill>
          </w14:textFill>
        </w:rPr>
        <w:t>第</w:t>
      </w:r>
      <w:r>
        <w:rPr>
          <w:rFonts w:hint="eastAsia"/>
          <w:b/>
          <w:color w:val="000000" w:themeColor="text1"/>
          <w:sz w:val="24"/>
          <w:lang w:val="en-US" w:eastAsia="zh-CN"/>
          <w14:textFill>
            <w14:solidFill>
              <w14:schemeClr w14:val="tx1"/>
            </w14:solidFill>
          </w14:textFill>
        </w:rPr>
        <w:t>1年租金</w:t>
      </w:r>
      <w:r>
        <w:rPr>
          <w:rFonts w:hint="eastAsia"/>
          <w:b/>
          <w:color w:val="000000" w:themeColor="text1"/>
          <w:sz w:val="24"/>
          <w:lang w:eastAsia="zh-CN"/>
          <w14:textFill>
            <w14:solidFill>
              <w14:schemeClr w14:val="tx1"/>
            </w14:solidFill>
          </w14:textFill>
        </w:rPr>
        <w:t>成交款及买受佣金</w:t>
      </w:r>
      <w:r>
        <w:rPr>
          <w:rFonts w:hint="eastAsia"/>
          <w:b/>
          <w:color w:val="000000" w:themeColor="text1"/>
          <w:sz w:val="24"/>
          <w14:textFill>
            <w14:solidFill>
              <w14:schemeClr w14:val="tx1"/>
            </w14:solidFill>
          </w14:textFill>
        </w:rPr>
        <w:t>请汇入拍卖人账户</w:t>
      </w:r>
      <w:r>
        <w:rPr>
          <w:rFonts w:hint="eastAsia"/>
          <w:color w:val="000000" w:themeColor="text1"/>
          <w:sz w:val="24"/>
          <w14:textFill>
            <w14:solidFill>
              <w14:schemeClr w14:val="tx1"/>
            </w14:solidFill>
          </w14:textFill>
        </w:rPr>
        <w:t>（户名：宁波阳明拍卖有限公司，开户行：中信银行余姚支行，账号：8114701084445008888）。</w:t>
      </w:r>
    </w:p>
    <w:p w14:paraId="2439AEFC">
      <w:pPr>
        <w:keepNext w:val="0"/>
        <w:keepLines w:val="0"/>
        <w:pageBreakBefore w:val="0"/>
        <w:widowControl w:val="0"/>
        <w:kinsoku/>
        <w:wordWrap/>
        <w:overflowPunct/>
        <w:topLinePunct w:val="0"/>
        <w:autoSpaceDE/>
        <w:autoSpaceDN/>
        <w:bidi w:val="0"/>
        <w:adjustRightInd/>
        <w:snapToGrid/>
        <w:spacing w:line="480" w:lineRule="exact"/>
        <w:ind w:left="0" w:leftChars="0" w:firstLine="439" w:firstLineChars="182"/>
        <w:textAlignment w:val="auto"/>
        <w:rPr>
          <w:rFonts w:hint="eastAsia" w:ascii="宋体" w:hAnsi="宋体"/>
          <w:color w:val="000000" w:themeColor="text1"/>
          <w:sz w:val="24"/>
          <w14:textFill>
            <w14:solidFill>
              <w14:schemeClr w14:val="tx1"/>
            </w14:solidFill>
          </w14:textFill>
        </w:rPr>
      </w:pPr>
      <w:r>
        <w:rPr>
          <w:rFonts w:hint="default" w:ascii="宋体" w:hAnsi="宋体"/>
          <w:b/>
          <w:bCs/>
          <w:color w:val="000000" w:themeColor="text1"/>
          <w:sz w:val="24"/>
          <w:lang w:eastAsia="zh-CN"/>
          <w14:textFill>
            <w14:solidFill>
              <w14:schemeClr w14:val="tx1"/>
            </w14:solidFill>
          </w14:textFill>
        </w:rPr>
        <w:t>履约保证金请汇入委托人账</w:t>
      </w:r>
      <w:r>
        <w:rPr>
          <w:rFonts w:hint="default" w:ascii="宋体" w:hAnsi="宋体"/>
          <w:b/>
          <w:bCs/>
          <w:color w:val="000000" w:themeColor="text1"/>
          <w:sz w:val="24"/>
          <w:highlight w:val="none"/>
          <w:lang w:eastAsia="zh-CN"/>
          <w14:textFill>
            <w14:solidFill>
              <w14:schemeClr w14:val="tx1"/>
            </w14:solidFill>
          </w14:textFill>
        </w:rPr>
        <w:t>户</w:t>
      </w:r>
      <w:r>
        <w:rPr>
          <w:rFonts w:hint="eastAsia"/>
          <w:color w:val="000000" w:themeColor="text1"/>
          <w:sz w:val="24"/>
          <w:highlight w:val="none"/>
          <w14:textFill>
            <w14:solidFill>
              <w14:schemeClr w14:val="tx1"/>
            </w14:solidFill>
          </w14:textFill>
        </w:rPr>
        <w:t>（</w:t>
      </w:r>
      <w:r>
        <w:rPr>
          <w:rFonts w:hint="default" w:ascii="宋体" w:hAnsi="宋体"/>
          <w:color w:val="000000" w:themeColor="text1"/>
          <w:sz w:val="24"/>
          <w:highlight w:val="none"/>
          <w:lang w:eastAsia="zh-CN"/>
          <w14:textFill>
            <w14:solidFill>
              <w14:schemeClr w14:val="tx1"/>
            </w14:solidFill>
          </w14:textFill>
        </w:rPr>
        <w:t>户名：</w:t>
      </w:r>
      <w:r>
        <w:rPr>
          <w:rFonts w:hint="eastAsia" w:ascii="宋体" w:hAnsi="宋体"/>
          <w:color w:val="000000" w:themeColor="text1"/>
          <w:sz w:val="24"/>
          <w:highlight w:val="none"/>
          <w:lang w:eastAsia="zh-CN"/>
          <w14:textFill>
            <w14:solidFill>
              <w14:schemeClr w14:val="tx1"/>
            </w14:solidFill>
          </w14:textFill>
        </w:rPr>
        <w:t>余姚市牟山湖开发有限公司</w:t>
      </w:r>
      <w:r>
        <w:rPr>
          <w:rFonts w:hint="default" w:ascii="宋体" w:hAnsi="宋体" w:eastAsia="宋体" w:cs="宋体"/>
          <w:color w:val="000000" w:themeColor="text1"/>
          <w:kern w:val="0"/>
          <w:sz w:val="24"/>
          <w:highlight w:val="none"/>
          <w:lang w:eastAsia="zh-CN"/>
          <w14:textFill>
            <w14:solidFill>
              <w14:schemeClr w14:val="tx1"/>
            </w14:solidFill>
          </w14:textFill>
        </w:rPr>
        <w:t>；开户银行：</w:t>
      </w:r>
      <w:r>
        <w:rPr>
          <w:rFonts w:hint="eastAsia" w:ascii="宋体" w:hAnsi="宋体" w:cs="宋体"/>
          <w:color w:val="000000" w:themeColor="text1"/>
          <w:kern w:val="0"/>
          <w:sz w:val="24"/>
          <w:highlight w:val="none"/>
          <w:lang w:eastAsia="zh-CN"/>
          <w14:textFill>
            <w14:solidFill>
              <w14:schemeClr w14:val="tx1"/>
            </w14:solidFill>
          </w14:textFill>
        </w:rPr>
        <w:t>浦发银行</w:t>
      </w:r>
      <w:r>
        <w:rPr>
          <w:rFonts w:hint="default" w:ascii="宋体" w:hAnsi="宋体" w:eastAsia="宋体" w:cs="宋体"/>
          <w:color w:val="000000" w:themeColor="text1"/>
          <w:kern w:val="0"/>
          <w:sz w:val="24"/>
          <w:highlight w:val="none"/>
          <w:lang w:eastAsia="zh-CN"/>
          <w14:textFill>
            <w14:solidFill>
              <w14:schemeClr w14:val="tx1"/>
            </w14:solidFill>
          </w14:textFill>
        </w:rPr>
        <w:t>余姚支行；账号：</w:t>
      </w:r>
      <w:r>
        <w:rPr>
          <w:rFonts w:hint="eastAsia" w:ascii="宋体" w:hAnsi="宋体" w:cs="宋体"/>
          <w:color w:val="000000" w:themeColor="text1"/>
          <w:kern w:val="0"/>
          <w:sz w:val="24"/>
          <w:highlight w:val="none"/>
          <w:lang w:val="en-US" w:eastAsia="zh-CN"/>
          <w14:textFill>
            <w14:solidFill>
              <w14:schemeClr w14:val="tx1"/>
            </w14:solidFill>
          </w14:textFill>
        </w:rPr>
        <w:t>94060155260001583</w:t>
      </w:r>
      <w:r>
        <w:rPr>
          <w:rFonts w:hint="default" w:ascii="宋体" w:hAnsi="宋体" w:eastAsia="宋体" w:cs="宋体"/>
          <w:color w:val="000000" w:themeColor="text1"/>
          <w:kern w:val="0"/>
          <w:sz w:val="24"/>
          <w:highlight w:val="none"/>
          <w:lang w:eastAsia="zh-CN"/>
          <w14:textFill>
            <w14:solidFill>
              <w14:schemeClr w14:val="tx1"/>
            </w14:solidFill>
          </w14:textFill>
        </w:rPr>
        <w:t>）</w:t>
      </w:r>
      <w:r>
        <w:rPr>
          <w:rFonts w:hint="default" w:ascii="宋体" w:hAnsi="宋体" w:eastAsia="宋体" w:cs="宋体"/>
          <w:color w:val="000000" w:themeColor="text1"/>
          <w:kern w:val="0"/>
          <w:sz w:val="24"/>
          <w:lang w:eastAsia="zh-CN"/>
          <w14:textFill>
            <w14:solidFill>
              <w14:schemeClr w14:val="tx1"/>
            </w14:solidFill>
          </w14:textFill>
        </w:rPr>
        <w:t>。</w:t>
      </w:r>
    </w:p>
    <w:p w14:paraId="7E686617">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拍卖人出具买受佣金发票</w:t>
      </w:r>
      <w:r>
        <w:rPr>
          <w:rFonts w:hint="eastAsia" w:ascii="宋体" w:hAnsi="宋体" w:cs="宋体"/>
          <w:color w:val="auto"/>
          <w:kern w:val="0"/>
          <w:sz w:val="24"/>
          <w:lang w:eastAsia="zh-CN"/>
        </w:rPr>
        <w:t>和第</w:t>
      </w:r>
      <w:r>
        <w:rPr>
          <w:rFonts w:hint="eastAsia" w:ascii="宋体" w:hAnsi="宋体" w:cs="宋体"/>
          <w:color w:val="auto"/>
          <w:kern w:val="0"/>
          <w:sz w:val="24"/>
          <w:lang w:val="en-US" w:eastAsia="zh-CN"/>
        </w:rPr>
        <w:t>1年租金</w:t>
      </w:r>
      <w:r>
        <w:rPr>
          <w:rFonts w:hint="eastAsia" w:ascii="宋体" w:hAnsi="宋体" w:cs="宋体"/>
          <w:color w:val="auto"/>
          <w:kern w:val="0"/>
          <w:sz w:val="24"/>
          <w:lang w:eastAsia="zh-CN"/>
        </w:rPr>
        <w:t>成交款收据</w:t>
      </w:r>
      <w:r>
        <w:rPr>
          <w:rFonts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租金发票</w:t>
      </w:r>
      <w:r>
        <w:rPr>
          <w:rFonts w:hint="eastAsia" w:ascii="宋体" w:hAnsi="宋体" w:cs="宋体"/>
          <w:color w:val="000000" w:themeColor="text1"/>
          <w:kern w:val="0"/>
          <w:sz w:val="24"/>
          <w:highlight w:val="none"/>
          <w14:textFill>
            <w14:solidFill>
              <w14:schemeClr w14:val="tx1"/>
            </w14:solidFill>
          </w14:textFill>
        </w:rPr>
        <w:t>由</w:t>
      </w:r>
      <w:r>
        <w:rPr>
          <w:rFonts w:hint="eastAsia" w:ascii="宋体" w:hAnsi="宋体" w:cs="宋体"/>
          <w:color w:val="000000" w:themeColor="text1"/>
          <w:kern w:val="0"/>
          <w:sz w:val="24"/>
          <w:highlight w:val="none"/>
          <w:lang w:eastAsia="zh-CN"/>
          <w14:textFill>
            <w14:solidFill>
              <w14:schemeClr w14:val="tx1"/>
            </w14:solidFill>
          </w14:textFill>
        </w:rPr>
        <w:t>委托人</w:t>
      </w:r>
      <w:r>
        <w:rPr>
          <w:rFonts w:hint="eastAsia" w:ascii="宋体" w:hAnsi="宋体" w:cs="宋体"/>
          <w:color w:val="000000" w:themeColor="text1"/>
          <w:kern w:val="0"/>
          <w:sz w:val="24"/>
          <w:highlight w:val="none"/>
          <w14:textFill>
            <w14:solidFill>
              <w14:schemeClr w14:val="tx1"/>
            </w14:solidFill>
          </w14:textFill>
        </w:rPr>
        <w:t>提供。</w:t>
      </w:r>
      <w:bookmarkEnd w:id="1"/>
    </w:p>
    <w:p w14:paraId="4D53D22E">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第十五条</w:t>
      </w:r>
      <w:r>
        <w:rPr>
          <w:rFonts w:hint="eastAsia" w:ascii="宋体" w:hAnsi="宋体"/>
          <w:b/>
          <w:color w:val="000000" w:themeColor="text1"/>
          <w:sz w:val="24"/>
          <w:highlight w:val="none"/>
          <w:lang w:val="en-US" w:eastAsia="zh-CN"/>
          <w14:textFill>
            <w14:solidFill>
              <w14:schemeClr w14:val="tx1"/>
            </w14:solidFill>
          </w14:textFill>
        </w:rPr>
        <w:t xml:space="preserve">  违约责任：</w:t>
      </w:r>
      <w:r>
        <w:rPr>
          <w:rFonts w:hint="eastAsia" w:ascii="宋体" w:hAnsi="宋体"/>
          <w:b/>
          <w:color w:val="000000" w:themeColor="text1"/>
          <w:sz w:val="24"/>
          <w:highlight w:val="none"/>
          <w14:textFill>
            <w14:solidFill>
              <w14:schemeClr w14:val="tx1"/>
            </w14:solidFill>
          </w14:textFill>
        </w:rPr>
        <w:t>因买受人存在未按约定签订《拍卖成交确认</w:t>
      </w:r>
      <w:r>
        <w:rPr>
          <w:rFonts w:hint="eastAsia" w:ascii="宋体" w:hAnsi="宋体"/>
          <w:b/>
          <w:color w:val="000000" w:themeColor="text1"/>
          <w:sz w:val="24"/>
          <w14:textFill>
            <w14:solidFill>
              <w14:schemeClr w14:val="tx1"/>
            </w14:solidFill>
          </w14:textFill>
        </w:rPr>
        <w:t>书》等拍卖文件或《</w:t>
      </w:r>
      <w:r>
        <w:rPr>
          <w:rFonts w:hint="eastAsia" w:ascii="宋体" w:hAnsi="宋体"/>
          <w:b/>
          <w:color w:val="000000" w:themeColor="text1"/>
          <w:sz w:val="24"/>
          <w:lang w:eastAsia="zh-CN"/>
          <w14:textFill>
            <w14:solidFill>
              <w14:schemeClr w14:val="tx1"/>
            </w14:solidFill>
          </w14:textFill>
        </w:rPr>
        <w:t>房屋</w:t>
      </w:r>
      <w:r>
        <w:rPr>
          <w:rFonts w:hint="eastAsia" w:ascii="宋体" w:hAnsi="宋体"/>
          <w:b/>
          <w:color w:val="000000" w:themeColor="text1"/>
          <w:sz w:val="24"/>
          <w14:textFill>
            <w14:solidFill>
              <w14:schemeClr w14:val="tx1"/>
            </w14:solidFill>
          </w14:textFill>
        </w:rPr>
        <w:t>租赁合同》、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08EBD92A">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《拍卖法》第三十九条：买受人应当按照约定支付拍卖标的的价款，未按照约定支付价款的，应当承担违约责任，或者由拍卖人征得委托人的同意，将拍卖标的再行拍卖。</w:t>
      </w:r>
    </w:p>
    <w:p w14:paraId="6B9C31AA">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拍卖标的再行拍卖的，原买受人应当支付第一次拍卖中本人及委托人应当支付的佣金。再行拍卖的价款低于原拍卖价款的，原买受人应当补足差额。</w:t>
      </w:r>
    </w:p>
    <w:p w14:paraId="236FE305">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六</w:t>
      </w:r>
      <w:r>
        <w:rPr>
          <w:rFonts w:hint="eastAsia" w:ascii="宋体" w:hAnsi="宋体"/>
          <w:b/>
          <w:color w:val="000000" w:themeColor="text1"/>
          <w:sz w:val="24"/>
          <w14:textFill>
            <w14:solidFill>
              <w14:schemeClr w14:val="tx1"/>
            </w14:solidFill>
          </w14:textFill>
        </w:rPr>
        <w:t>条  标的物交付：</w:t>
      </w:r>
      <w:r>
        <w:rPr>
          <w:rFonts w:hint="eastAsia" w:ascii="宋体" w:hAnsi="宋体"/>
          <w:color w:val="000000" w:themeColor="text1"/>
          <w:sz w:val="24"/>
          <w14:textFill>
            <w14:solidFill>
              <w14:schemeClr w14:val="tx1"/>
            </w14:solidFill>
          </w14:textFill>
        </w:rPr>
        <w:t>签订《</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租赁合同》后由委托人交付标的物</w:t>
      </w:r>
      <w:r>
        <w:rPr>
          <w:rFonts w:hint="eastAsia" w:ascii="宋体" w:hAnsi="宋体"/>
          <w:color w:val="000000" w:themeColor="text1"/>
          <w:sz w:val="24"/>
          <w:lang w:eastAsia="zh-CN"/>
          <w14:textFill>
            <w14:solidFill>
              <w14:schemeClr w14:val="tx1"/>
            </w14:solidFill>
          </w14:textFill>
        </w:rPr>
        <w:t>于</w:t>
      </w:r>
      <w:r>
        <w:rPr>
          <w:rFonts w:hint="eastAsia" w:ascii="宋体" w:hAnsi="宋体"/>
          <w:color w:val="000000" w:themeColor="text1"/>
          <w:sz w:val="24"/>
          <w14:textFill>
            <w14:solidFill>
              <w14:schemeClr w14:val="tx1"/>
            </w14:solidFill>
          </w14:textFill>
        </w:rPr>
        <w:t>买受人</w:t>
      </w:r>
      <w:r>
        <w:rPr>
          <w:rFonts w:hint="eastAsia" w:ascii="宋体" w:hAnsi="宋体"/>
          <w:bCs/>
          <w:color w:val="000000" w:themeColor="text1"/>
          <w:sz w:val="24"/>
          <w14:textFill>
            <w14:solidFill>
              <w14:schemeClr w14:val="tx1"/>
            </w14:solidFill>
          </w14:textFill>
        </w:rPr>
        <w:t>。</w:t>
      </w:r>
    </w:p>
    <w:p w14:paraId="09D4D7D7">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w:t>
      </w:r>
      <w:r>
        <w:rPr>
          <w:rFonts w:hint="eastAsia" w:ascii="宋体" w:hAnsi="宋体"/>
          <w:b/>
          <w:color w:val="000000" w:themeColor="text1"/>
          <w:sz w:val="24"/>
          <w:lang w:eastAsia="zh-CN"/>
          <w14:textFill>
            <w14:solidFill>
              <w14:schemeClr w14:val="tx1"/>
            </w14:solidFill>
          </w14:textFill>
        </w:rPr>
        <w:t>七</w:t>
      </w:r>
      <w:r>
        <w:rPr>
          <w:rFonts w:hint="eastAsia" w:ascii="宋体" w:hAnsi="宋体"/>
          <w:b/>
          <w:color w:val="000000" w:themeColor="text1"/>
          <w:sz w:val="24"/>
          <w14:textFill>
            <w14:solidFill>
              <w14:schemeClr w14:val="tx1"/>
            </w14:solidFill>
          </w14:textFill>
        </w:rPr>
        <w:t>条  拍卖</w:t>
      </w:r>
      <w:r>
        <w:rPr>
          <w:rFonts w:hint="eastAsia" w:ascii="宋体" w:hAnsi="宋体" w:cs="宋体"/>
          <w:b/>
          <w:bCs/>
          <w:color w:val="000000" w:themeColor="text1"/>
          <w:kern w:val="0"/>
          <w:sz w:val="24"/>
          <w14:textFill>
            <w14:solidFill>
              <w14:schemeClr w14:val="tx1"/>
            </w14:solidFill>
          </w14:textFill>
        </w:rPr>
        <w:t>结果公告：</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租赁合同》</w:t>
      </w:r>
      <w:r>
        <w:rPr>
          <w:rFonts w:hint="eastAsia" w:ascii="宋体" w:hAnsi="宋体" w:cs="宋体"/>
          <w:color w:val="000000" w:themeColor="text1"/>
          <w:kern w:val="0"/>
          <w:sz w:val="24"/>
          <w14:textFill>
            <w14:solidFill>
              <w14:schemeClr w14:val="tx1"/>
            </w14:solidFill>
          </w14:textFill>
        </w:rPr>
        <w:t>生效后的2个工作日内，由拍卖人将交易结果在宁波市公共资源交易电子服务系统</w:t>
      </w:r>
      <w:r>
        <w:rPr>
          <w:rFonts w:hint="eastAsia"/>
          <w:color w:val="000000" w:themeColor="text1"/>
          <w:lang w:eastAsia="zh-CN"/>
          <w14:textFill>
            <w14:solidFill>
              <w14:schemeClr w14:val="tx1"/>
            </w14:solidFill>
          </w14:textFill>
        </w:rPr>
        <w:t>（</w:t>
      </w:r>
      <w:r>
        <w:rPr>
          <w:rFonts w:hint="eastAsia" w:ascii="宋体" w:hAnsi="宋体" w:cs="宋体"/>
          <w:color w:val="000000" w:themeColor="text1"/>
          <w:kern w:val="0"/>
          <w:sz w:val="24"/>
          <w:lang w:eastAsia="zh-CN"/>
          <w14:textFill>
            <w14:solidFill>
              <w14:schemeClr w14:val="tx1"/>
            </w14:solidFill>
          </w14:textFill>
        </w:rPr>
        <w:t>甬易阳光）</w:t>
      </w:r>
      <w:r>
        <w:rPr>
          <w:rFonts w:hint="eastAsia" w:ascii="宋体" w:hAnsi="宋体" w:cs="宋体"/>
          <w:color w:val="000000" w:themeColor="text1"/>
          <w:kern w:val="0"/>
          <w:sz w:val="24"/>
          <w14:textFill>
            <w14:solidFill>
              <w14:schemeClr w14:val="tx1"/>
            </w14:solidFill>
          </w14:textFill>
        </w:rPr>
        <w:t>公告5个工作日。</w:t>
      </w:r>
    </w:p>
    <w:p w14:paraId="48EC11A7">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八</w:t>
      </w:r>
      <w:r>
        <w:rPr>
          <w:rFonts w:ascii="宋体" w:hAnsi="宋体" w:cs="宋体"/>
          <w:b/>
          <w:bCs/>
          <w:color w:val="000000" w:themeColor="text1"/>
          <w:kern w:val="0"/>
          <w:sz w:val="24"/>
          <w14:textFill>
            <w14:solidFill>
              <w14:schemeClr w14:val="tx1"/>
            </w14:solidFill>
          </w14:textFill>
        </w:rPr>
        <w:t>条</w:t>
      </w:r>
      <w:r>
        <w:rPr>
          <w:rFonts w:hint="eastAsia" w:ascii="宋体" w:hAnsi="宋体" w:cs="宋体"/>
          <w:b/>
          <w:bCs/>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买受人存在提供虚假文件、隐瞒事实、恶意串通等违反拍卖原则行为的，委托人和拍卖人有权取消其买受人资格，撤销《拍卖成交确认书》，解除《</w:t>
      </w:r>
      <w:r>
        <w:rPr>
          <w:rFonts w:hint="eastAsia" w:ascii="宋体" w:hAnsi="宋体" w:cs="宋体"/>
          <w:color w:val="000000" w:themeColor="text1"/>
          <w:kern w:val="0"/>
          <w:sz w:val="24"/>
          <w:lang w:eastAsia="zh-CN"/>
          <w14:textFill>
            <w14:solidFill>
              <w14:schemeClr w14:val="tx1"/>
            </w14:solidFill>
          </w14:textFill>
        </w:rPr>
        <w:t>房屋</w:t>
      </w:r>
      <w:r>
        <w:rPr>
          <w:rFonts w:hint="eastAsia" w:ascii="宋体" w:hAnsi="宋体" w:cs="宋体"/>
          <w:color w:val="000000" w:themeColor="text1"/>
          <w:kern w:val="0"/>
          <w:sz w:val="24"/>
          <w14:textFill>
            <w14:solidFill>
              <w14:schemeClr w14:val="tx1"/>
            </w14:solidFill>
          </w14:textFill>
        </w:rPr>
        <w:t>租赁合同》，造成的损失由买受人赔偿。</w:t>
      </w:r>
    </w:p>
    <w:p w14:paraId="2A62C72F">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 则</w:t>
      </w:r>
    </w:p>
    <w:p w14:paraId="471F24DC">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第十</w:t>
      </w:r>
      <w:r>
        <w:rPr>
          <w:rFonts w:hint="eastAsia" w:ascii="宋体" w:hAnsi="宋体" w:cs="宋体"/>
          <w:b/>
          <w:bCs/>
          <w:color w:val="000000" w:themeColor="text1"/>
          <w:kern w:val="0"/>
          <w:sz w:val="24"/>
          <w:lang w:eastAsia="zh-CN"/>
          <w14:textFill>
            <w14:solidFill>
              <w14:schemeClr w14:val="tx1"/>
            </w14:solidFill>
          </w14:textFill>
        </w:rPr>
        <w:t>九</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themeColor="text1"/>
          <w:kern w:val="0"/>
          <w:sz w:val="24"/>
          <w14:textFill>
            <w14:solidFill>
              <w14:schemeClr w14:val="tx1"/>
            </w14:solidFill>
          </w14:textFill>
        </w:rPr>
        <w:t>委托人</w:t>
      </w:r>
      <w:r>
        <w:rPr>
          <w:rFonts w:ascii="宋体" w:hAnsi="宋体" w:cs="宋体"/>
          <w:color w:val="000000" w:themeColor="text1"/>
          <w:kern w:val="0"/>
          <w:sz w:val="24"/>
          <w14:textFill>
            <w14:solidFill>
              <w14:schemeClr w14:val="tx1"/>
            </w14:solidFill>
          </w14:textFill>
        </w:rPr>
        <w:t>、拍卖人无涉。</w:t>
      </w:r>
    </w:p>
    <w:p w14:paraId="3B891C06">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第</w:t>
      </w:r>
      <w:r>
        <w:rPr>
          <w:rFonts w:hint="eastAsia" w:ascii="宋体" w:hAnsi="宋体" w:cs="宋体"/>
          <w:b/>
          <w:bCs/>
          <w:color w:val="000000" w:themeColor="text1"/>
          <w:kern w:val="0"/>
          <w:sz w:val="24"/>
          <w:lang w:eastAsia="zh-CN"/>
          <w14:textFill>
            <w14:solidFill>
              <w14:schemeClr w14:val="tx1"/>
            </w14:solidFill>
          </w14:textFill>
        </w:rPr>
        <w:t>二十</w:t>
      </w:r>
      <w:r>
        <w:rPr>
          <w:rFonts w:ascii="宋体" w:hAnsi="宋体" w:cs="宋体"/>
          <w:b/>
          <w:bCs/>
          <w:color w:val="000000" w:themeColor="text1"/>
          <w:kern w:val="0"/>
          <w:sz w:val="24"/>
          <w14:textFill>
            <w14:solidFill>
              <w14:schemeClr w14:val="tx1"/>
            </w14:solidFill>
          </w14:textFill>
        </w:rPr>
        <w:t>条</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本须知解释权归本次拍卖活动的委托人、拍卖人所有</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 xml:space="preserve"> </w:t>
      </w:r>
    </w:p>
    <w:p w14:paraId="76E30771">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hint="eastAsia" w:ascii="宋体" w:hAnsi="宋体" w:cs="宋体"/>
          <w:color w:val="000000" w:themeColor="text1"/>
          <w:kern w:val="0"/>
          <w:sz w:val="24"/>
          <w14:textFill>
            <w14:solidFill>
              <w14:schemeClr w14:val="tx1"/>
            </w14:solidFill>
          </w14:textFill>
        </w:rPr>
      </w:pPr>
    </w:p>
    <w:p w14:paraId="00612D3B">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hint="eastAsia" w:ascii="宋体" w:hAnsi="宋体"/>
          <w:b/>
          <w:sz w:val="28"/>
          <w:szCs w:val="28"/>
        </w:rPr>
      </w:pPr>
      <w:r>
        <w:rPr>
          <w:rFonts w:hint="default" w:ascii="宋体" w:hAnsi="宋体"/>
          <w:b/>
          <w:sz w:val="28"/>
          <w:szCs w:val="28"/>
        </w:rPr>
        <w:t>会场纪律</w:t>
      </w:r>
    </w:p>
    <w:p w14:paraId="2A1EA1C5">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ascii="宋体" w:hAnsi="宋体" w:cs="宋体"/>
          <w:kern w:val="0"/>
          <w:sz w:val="24"/>
        </w:rPr>
      </w:pPr>
      <w:r>
        <w:rPr>
          <w:rFonts w:hint="default" w:ascii="宋体" w:hAnsi="宋体" w:cs="宋体"/>
          <w:kern w:val="0"/>
          <w:sz w:val="24"/>
        </w:rPr>
        <w:t>一、竞买人有序进入拍卖会场，拍卖会现场必须服从工作人员的安排。</w:t>
      </w:r>
    </w:p>
    <w:p w14:paraId="4C19AA53">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ascii="宋体" w:hAnsi="宋体" w:cs="宋体"/>
          <w:kern w:val="0"/>
          <w:sz w:val="24"/>
        </w:rPr>
      </w:pPr>
      <w:r>
        <w:rPr>
          <w:rFonts w:hint="default" w:ascii="宋体" w:hAnsi="宋体" w:cs="宋体"/>
          <w:kern w:val="0"/>
          <w:sz w:val="24"/>
        </w:rPr>
        <w:t>二、现场拍卖期间，要求竞买人之间间隔1个座位就坐参拍；严禁聚众扎堆。</w:t>
      </w:r>
    </w:p>
    <w:p w14:paraId="649BFC16">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ascii="宋体" w:hAnsi="宋体" w:cs="宋体"/>
          <w:kern w:val="0"/>
          <w:sz w:val="24"/>
        </w:rPr>
      </w:pPr>
      <w:r>
        <w:rPr>
          <w:rFonts w:hint="default" w:ascii="宋体" w:hAnsi="宋体" w:cs="宋体"/>
          <w:kern w:val="0"/>
          <w:sz w:val="24"/>
        </w:rPr>
        <w:t>三、进入拍卖会场后，请保持安静，不得大声喧哗。</w:t>
      </w:r>
    </w:p>
    <w:p w14:paraId="032410E6">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ascii="宋体" w:hAnsi="宋体" w:cs="宋体"/>
          <w:kern w:val="0"/>
          <w:sz w:val="24"/>
        </w:rPr>
      </w:pPr>
      <w:r>
        <w:rPr>
          <w:rFonts w:hint="default" w:ascii="宋体" w:hAnsi="宋体" w:cs="宋体"/>
          <w:kern w:val="0"/>
          <w:sz w:val="24"/>
        </w:rPr>
        <w:t>四、自觉爱护场内公共设施、设备，对故意毁坏造成的损失，由当事人负责赔偿。</w:t>
      </w:r>
    </w:p>
    <w:p w14:paraId="7D27865E">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ascii="宋体" w:hAnsi="宋体" w:cs="宋体"/>
          <w:kern w:val="0"/>
          <w:sz w:val="24"/>
        </w:rPr>
      </w:pPr>
      <w:r>
        <w:rPr>
          <w:rFonts w:hint="default" w:ascii="宋体" w:hAnsi="宋体" w:cs="宋体"/>
          <w:kern w:val="0"/>
          <w:sz w:val="24"/>
        </w:rPr>
        <w:t>五、对故意扰乱现场秩序、干扰拍卖会正常进行的竞买人，工作人员有权将劝其退场。</w:t>
      </w:r>
    </w:p>
    <w:p w14:paraId="1EA14CEF">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ascii="宋体" w:hAnsi="宋体" w:cs="宋体"/>
          <w:kern w:val="0"/>
          <w:sz w:val="24"/>
        </w:rPr>
      </w:pPr>
      <w:r>
        <w:rPr>
          <w:rFonts w:hint="default" w:ascii="宋体" w:hAnsi="宋体" w:cs="宋体"/>
          <w:kern w:val="0"/>
          <w:sz w:val="24"/>
        </w:rPr>
        <w:t>六、拍卖会结束后，要求竞买人有序退场，同时将号牌归还工作人员。</w:t>
      </w:r>
    </w:p>
    <w:p w14:paraId="324057D5">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ascii="宋体" w:hAnsi="宋体" w:cs="宋体"/>
          <w:kern w:val="0"/>
          <w:sz w:val="24"/>
        </w:rPr>
      </w:pPr>
      <w:r>
        <w:rPr>
          <w:rFonts w:hint="default" w:ascii="宋体" w:hAnsi="宋体" w:cs="宋体"/>
          <w:kern w:val="0"/>
          <w:sz w:val="24"/>
        </w:rPr>
        <w:t>七、在会场内禁止吸烟。</w:t>
      </w:r>
    </w:p>
    <w:p w14:paraId="5DBF5FC5">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ascii="宋体" w:hAnsi="宋体" w:cs="宋体"/>
          <w:kern w:val="0"/>
          <w:sz w:val="24"/>
        </w:rPr>
      </w:pPr>
      <w:r>
        <w:rPr>
          <w:rFonts w:hint="default" w:ascii="宋体" w:hAnsi="宋体" w:cs="宋体"/>
          <w:kern w:val="0"/>
          <w:sz w:val="24"/>
        </w:rPr>
        <w:t>八、妥善保管好个人物品，损坏、丢失等后果自负。</w:t>
      </w:r>
    </w:p>
    <w:p w14:paraId="53862B20">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hint="default" w:ascii="宋体" w:hAnsi="宋体" w:cs="宋体"/>
          <w:kern w:val="0"/>
          <w:sz w:val="24"/>
        </w:rPr>
      </w:pPr>
      <w:r>
        <w:rPr>
          <w:rFonts w:hint="default" w:ascii="宋体" w:hAnsi="宋体" w:cs="宋体"/>
          <w:kern w:val="0"/>
          <w:sz w:val="24"/>
        </w:rPr>
        <w:t>九、理性应价，谨慎举牌。</w:t>
      </w:r>
    </w:p>
    <w:p w14:paraId="4B236DB4">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hint="default" w:ascii="宋体" w:hAnsi="宋体" w:cs="宋体"/>
          <w:kern w:val="0"/>
          <w:sz w:val="24"/>
        </w:rPr>
      </w:pPr>
    </w:p>
    <w:p w14:paraId="5C50910E">
      <w:pPr>
        <w:keepNext w:val="0"/>
        <w:keepLines w:val="0"/>
        <w:pageBreakBefore w:val="0"/>
        <w:widowControl w:val="0"/>
        <w:kinsoku/>
        <w:wordWrap/>
        <w:overflowPunct/>
        <w:topLinePunct w:val="0"/>
        <w:autoSpaceDE/>
        <w:autoSpaceDN/>
        <w:bidi w:val="0"/>
        <w:adjustRightInd/>
        <w:snapToGrid/>
        <w:spacing w:line="480" w:lineRule="exact"/>
        <w:ind w:firstLine="468" w:firstLineChars="195"/>
        <w:textAlignment w:val="auto"/>
        <w:rPr>
          <w:rFonts w:hint="eastAsia" w:ascii="宋体" w:hAnsi="宋体" w:cs="宋体"/>
          <w:kern w:val="0"/>
          <w:sz w:val="24"/>
        </w:rPr>
      </w:pPr>
    </w:p>
    <w:p w14:paraId="6D43BDBA">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宁波阳明拍卖有限公司</w:t>
      </w:r>
    </w:p>
    <w:p w14:paraId="061D8A76">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2025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7月7日</w:t>
      </w:r>
    </w:p>
    <w:p w14:paraId="24B830F7"/>
    <w:p w14:paraId="529673C5"/>
    <w:p w14:paraId="4F02FA24">
      <w:pPr>
        <w:ind w:firstLine="420"/>
        <w:rPr>
          <w:rFonts w:hint="eastAsia"/>
          <w:sz w:val="24"/>
          <w:szCs w:val="24"/>
          <w:lang w:val="en-US" w:eastAsia="zh-CN"/>
        </w:rPr>
      </w:pPr>
      <w:r>
        <w:rPr>
          <w:rFonts w:hint="eastAsia"/>
          <w:sz w:val="24"/>
          <w:szCs w:val="24"/>
          <w:lang w:val="en-US" w:eastAsia="zh-CN"/>
        </w:rPr>
        <w:t>附件：《房屋租赁合同（样本）》</w:t>
      </w:r>
    </w:p>
    <w:p w14:paraId="00B1D6E3">
      <w:pPr>
        <w:ind w:firstLine="420"/>
        <w:rPr>
          <w:rFonts w:hint="default"/>
          <w:sz w:val="24"/>
          <w:szCs w:val="24"/>
          <w:lang w:val="en-US" w:eastAsia="zh-CN"/>
        </w:rPr>
      </w:pPr>
    </w:p>
    <w:p w14:paraId="20DC30C8">
      <w:pPr>
        <w:ind w:firstLine="420"/>
        <w:rPr>
          <w:rFonts w:hint="default"/>
          <w:sz w:val="24"/>
          <w:szCs w:val="24"/>
          <w:lang w:val="en-US" w:eastAsia="zh-CN"/>
        </w:rPr>
      </w:pPr>
    </w:p>
    <w:p w14:paraId="7A5257B6">
      <w:pPr>
        <w:ind w:firstLine="420"/>
        <w:rPr>
          <w:rFonts w:hint="default"/>
          <w:sz w:val="24"/>
          <w:szCs w:val="24"/>
          <w:lang w:val="en-US" w:eastAsia="zh-CN"/>
        </w:rPr>
      </w:pPr>
    </w:p>
    <w:p w14:paraId="19424D00">
      <w:pPr>
        <w:ind w:firstLine="420"/>
        <w:rPr>
          <w:rFonts w:hint="default"/>
          <w:sz w:val="24"/>
          <w:szCs w:val="24"/>
          <w:lang w:val="en-US" w:eastAsia="zh-CN"/>
        </w:rPr>
      </w:pPr>
    </w:p>
    <w:p w14:paraId="31A66352">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_GB2312" w:hAnsi="宋体" w:eastAsia="仿宋_GB2312"/>
          <w:b/>
          <w:color w:val="000000"/>
          <w:sz w:val="44"/>
          <w:szCs w:val="44"/>
        </w:rPr>
      </w:pPr>
      <w:r>
        <w:rPr>
          <w:rFonts w:hint="eastAsia" w:ascii="仿宋_GB2312" w:hAnsi="宋体" w:eastAsia="仿宋_GB2312"/>
          <w:b/>
          <w:color w:val="000000"/>
          <w:sz w:val="44"/>
          <w:szCs w:val="44"/>
        </w:rPr>
        <w:t>房屋租赁合同（样本）</w:t>
      </w:r>
    </w:p>
    <w:p w14:paraId="4276D9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出</w:t>
      </w:r>
      <w:r>
        <w:rPr>
          <w:rFonts w:hint="eastAsia" w:ascii="仿宋_GB2312" w:hAnsi="宋体" w:eastAsia="仿宋_GB2312" w:cs="Times New Roman"/>
          <w:color w:val="000000"/>
          <w:sz w:val="28"/>
          <w:szCs w:val="28"/>
        </w:rPr>
        <w:t>租人：</w:t>
      </w:r>
      <w:r>
        <w:rPr>
          <w:rFonts w:hint="eastAsia" w:ascii="仿宋_GB2312" w:hAnsi="宋体" w:eastAsia="仿宋_GB2312" w:cs="Times New Roman"/>
          <w:color w:val="000000"/>
          <w:sz w:val="28"/>
          <w:szCs w:val="28"/>
          <w:lang w:eastAsia="zh-CN"/>
        </w:rPr>
        <w:t>余姚市牟山湖开发有限公司</w:t>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（以下简称</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甲方</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w:t>
      </w:r>
    </w:p>
    <w:p w14:paraId="64ABB73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承租人：                                     （以下简称</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乙方</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w:t>
      </w:r>
    </w:p>
    <w:p w14:paraId="66A3B14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根据《中华人民共和国民法典》、《中华人民共和国</w:t>
      </w:r>
      <w:r>
        <w:rPr>
          <w:rFonts w:hint="eastAsia" w:ascii="仿宋_GB2312" w:hAnsi="宋体" w:eastAsia="仿宋_GB2312"/>
          <w:color w:val="000000"/>
          <w:sz w:val="28"/>
          <w:szCs w:val="28"/>
          <w:lang w:eastAsia="zh-CN"/>
        </w:rPr>
        <w:t>城市</w:t>
      </w:r>
      <w:r>
        <w:rPr>
          <w:rFonts w:hint="eastAsia" w:ascii="仿宋_GB2312" w:hAnsi="宋体" w:eastAsia="仿宋_GB2312"/>
          <w:color w:val="000000"/>
          <w:sz w:val="28"/>
          <w:szCs w:val="28"/>
        </w:rPr>
        <w:t>房地产管理法》等法律、法规规定，甲、乙双方在自愿、公平和诚实信用的基础上，就房屋租赁事宜，经</w:t>
      </w:r>
      <w:r>
        <w:rPr>
          <w:rFonts w:hint="eastAsia" w:ascii="仿宋_GB2312" w:hAnsi="宋体" w:eastAsia="仿宋_GB2312"/>
          <w:color w:val="000000"/>
          <w:sz w:val="28"/>
          <w:szCs w:val="28"/>
          <w:lang w:eastAsia="zh-CN"/>
        </w:rPr>
        <w:t>公开拍卖确定</w:t>
      </w:r>
      <w:r>
        <w:rPr>
          <w:rFonts w:hint="eastAsia" w:ascii="仿宋_GB2312" w:hAnsi="宋体" w:eastAsia="仿宋_GB2312"/>
          <w:color w:val="000000"/>
          <w:sz w:val="28"/>
          <w:szCs w:val="28"/>
        </w:rPr>
        <w:t>，订立本合同。</w:t>
      </w:r>
    </w:p>
    <w:p w14:paraId="750F618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第一条  标的基本情况及用途</w:t>
      </w:r>
    </w:p>
    <w:p w14:paraId="23FAAD7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（一）甲方同意将位于</w:t>
      </w:r>
      <w:r>
        <w:rPr>
          <w:rFonts w:hint="eastAsia" w:ascii="仿宋_GB2312" w:hAnsi="仿宋" w:eastAsia="仿宋_GB2312" w:cs="仿宋"/>
          <w:color w:val="000000"/>
          <w:kern w:val="0"/>
          <w:sz w:val="28"/>
          <w:szCs w:val="28"/>
          <w:u w:val="single"/>
        </w:rPr>
        <w:t xml:space="preserve">                 </w:t>
      </w:r>
      <w:r>
        <w:rPr>
          <w:rFonts w:hint="eastAsia" w:ascii="仿宋_GB2312" w:hAnsi="宋体" w:eastAsia="仿宋_GB2312"/>
          <w:color w:val="000000"/>
          <w:sz w:val="28"/>
          <w:szCs w:val="28"/>
        </w:rPr>
        <w:t>（以下简称“标的”）出租给乙方使用。出租标的面积：约</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平方米</w:t>
      </w:r>
      <w:r>
        <w:rPr>
          <w:rFonts w:hint="eastAsia" w:ascii="仿宋_GB2312" w:hAnsi="宋体" w:eastAsia="仿宋_GB2312"/>
          <w:color w:val="000000"/>
          <w:sz w:val="28"/>
          <w:szCs w:val="28"/>
          <w:lang w:eastAsia="zh-CN"/>
        </w:rPr>
        <w:t>，证载用途：</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eastAsia="zh-CN"/>
        </w:rPr>
        <w:t>商业</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14:paraId="32E09A2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（二）乙方租赁标的必须符合法</w:t>
      </w:r>
      <w:bookmarkStart w:id="2" w:name="_GoBack"/>
      <w:bookmarkEnd w:id="2"/>
      <w:r>
        <w:rPr>
          <w:rFonts w:hint="eastAsia" w:ascii="仿宋_GB2312" w:hAnsi="宋体" w:eastAsia="仿宋_GB2312"/>
          <w:color w:val="000000"/>
          <w:sz w:val="28"/>
          <w:szCs w:val="28"/>
        </w:rPr>
        <w:t>律、法规等相关规定，且不得从事</w:t>
      </w:r>
      <w:r>
        <w:rPr>
          <w:rFonts w:hint="eastAsia" w:ascii="仿宋_GB2312" w:hAnsi="宋体" w:eastAsia="仿宋_GB2312"/>
          <w:color w:val="000000"/>
          <w:sz w:val="28"/>
          <w:szCs w:val="28"/>
          <w:lang w:eastAsia="zh-CN"/>
        </w:rPr>
        <w:t>易燃易爆物品以及</w:t>
      </w:r>
      <w:r>
        <w:rPr>
          <w:rFonts w:hint="eastAsia" w:ascii="仿宋_GB2312" w:hAnsi="宋体" w:eastAsia="仿宋_GB2312"/>
          <w:color w:val="000000"/>
          <w:sz w:val="28"/>
          <w:szCs w:val="28"/>
        </w:rPr>
        <w:t>影响周边环境及危害标的安全的经营活动，并保证在租赁期间严格遵守国家和甲方有关标的使用的规定。</w:t>
      </w:r>
    </w:p>
    <w:p w14:paraId="266A195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（三）甲方已告知乙方该标的设定抵押的情况：</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。租赁期间，甲方有权将该标的设定或再次设定为抵押物，乙方应予以配合。</w:t>
      </w:r>
    </w:p>
    <w:p w14:paraId="5F72FF7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甲方按标的现状出租，本合同签订时，乙方已到现场查看了解并同意按标的现状承租。现有装修、附属设施、设备状况的有关事宜，作为甲方向乙方交付标的和本合同终止时乙方向甲方返还标的的验收依据。</w:t>
      </w:r>
    </w:p>
    <w:p w14:paraId="7F1FA62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第二条　租赁期限</w:t>
      </w:r>
    </w:p>
    <w:p w14:paraId="3D0C1AE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（一）乙方租用标的的期限为</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年，即自</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eastAsia="zh-CN"/>
        </w:rPr>
        <w:t>起</w:t>
      </w:r>
      <w:r>
        <w:rPr>
          <w:rFonts w:hint="eastAsia" w:ascii="仿宋_GB2312" w:hAnsi="宋体" w:eastAsia="仿宋_GB2312"/>
          <w:color w:val="000000"/>
          <w:sz w:val="28"/>
          <w:szCs w:val="28"/>
        </w:rPr>
        <w:t>至</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日止。</w:t>
      </w:r>
    </w:p>
    <w:p w14:paraId="40CE9AA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第三条　租金、租金支付时间及方式</w:t>
      </w:r>
    </w:p>
    <w:p w14:paraId="2D8D45B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w:t>
      </w:r>
      <w:r>
        <w:rPr>
          <w:rFonts w:hint="eastAsia" w:ascii="仿宋_GB2312" w:hAnsi="宋体" w:eastAsia="仿宋_GB2312"/>
          <w:b/>
          <w:color w:val="000000"/>
          <w:sz w:val="28"/>
          <w:szCs w:val="28"/>
        </w:rPr>
        <w:t>租金：</w:t>
      </w:r>
      <w:r>
        <w:rPr>
          <w:rFonts w:hint="eastAsia" w:ascii="仿宋_GB2312" w:hAnsi="宋体" w:eastAsia="仿宋_GB2312"/>
          <w:color w:val="000000"/>
          <w:sz w:val="28"/>
          <w:szCs w:val="28"/>
        </w:rPr>
        <w:t>在本合同租期内，该标的年度租金为人民币</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元/年（大写：</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14:paraId="04828E4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w:t>
      </w:r>
      <w:r>
        <w:rPr>
          <w:rFonts w:hint="eastAsia" w:ascii="仿宋_GB2312" w:hAnsi="宋体" w:eastAsia="仿宋_GB2312"/>
          <w:b/>
          <w:color w:val="000000"/>
          <w:sz w:val="28"/>
          <w:szCs w:val="28"/>
        </w:rPr>
        <w:t>租金支付时间</w:t>
      </w:r>
      <w:r>
        <w:rPr>
          <w:rFonts w:hint="eastAsia" w:ascii="仿宋_GB2312" w:hAnsi="宋体" w:eastAsia="仿宋_GB2312"/>
          <w:color w:val="000000"/>
          <w:sz w:val="28"/>
          <w:szCs w:val="28"/>
        </w:rPr>
        <w:t>：租金实行按年支付，先付后用的方式。第</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年租金已在本合同签订前付清，第</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 xml:space="preserve">年租金在第一年度到期前 </w:t>
      </w:r>
      <w:r>
        <w:rPr>
          <w:rFonts w:hint="eastAsia" w:ascii="仿宋_GB2312" w:hAnsi="宋体" w:eastAsia="仿宋_GB2312"/>
          <w:color w:val="000000"/>
          <w:sz w:val="28"/>
          <w:szCs w:val="28"/>
          <w:lang w:val="en-US" w:eastAsia="zh-CN"/>
        </w:rPr>
        <w:t>1个月</w:t>
      </w:r>
      <w:r>
        <w:rPr>
          <w:rFonts w:hint="eastAsia" w:ascii="仿宋_GB2312" w:hAnsi="宋体" w:eastAsia="仿宋_GB2312"/>
          <w:color w:val="000000"/>
          <w:sz w:val="28"/>
          <w:szCs w:val="28"/>
        </w:rPr>
        <w:t>内通过乙方账户缴纳至甲方账户，以此类推。</w:t>
      </w:r>
    </w:p>
    <w:p w14:paraId="1BB2CC4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收款单位：</w:t>
      </w:r>
      <w:r>
        <w:rPr>
          <w:rFonts w:hint="eastAsia" w:ascii="仿宋_GB2312" w:hAnsi="宋体" w:eastAsia="仿宋_GB2312" w:cs="Times New Roman"/>
          <w:color w:val="000000"/>
          <w:sz w:val="28"/>
          <w:szCs w:val="28"/>
          <w:lang w:eastAsia="zh-CN"/>
        </w:rPr>
        <w:t>余姚市牟山湖开发有限公司</w:t>
      </w:r>
    </w:p>
    <w:p w14:paraId="2B7AB77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s="Times New Roman"/>
          <w:color w:val="000000"/>
          <w:sz w:val="28"/>
          <w:szCs w:val="28"/>
        </w:rPr>
      </w:pPr>
      <w:r>
        <w:rPr>
          <w:rFonts w:hint="eastAsia" w:ascii="仿宋_GB2312" w:hAnsi="宋体" w:eastAsia="仿宋_GB2312"/>
          <w:color w:val="000000"/>
          <w:sz w:val="28"/>
          <w:szCs w:val="28"/>
        </w:rPr>
        <w:t>开户</w:t>
      </w:r>
      <w:r>
        <w:rPr>
          <w:rFonts w:hint="eastAsia" w:ascii="仿宋_GB2312" w:hAnsi="宋体" w:eastAsia="仿宋_GB2312" w:cs="Times New Roman"/>
          <w:color w:val="000000"/>
          <w:sz w:val="28"/>
          <w:szCs w:val="28"/>
        </w:rPr>
        <w:t>银行：</w:t>
      </w:r>
      <w:r>
        <w:rPr>
          <w:rFonts w:hint="eastAsia" w:ascii="仿宋_GB2312" w:hAnsi="宋体" w:eastAsia="仿宋_GB2312" w:cs="Times New Roman"/>
          <w:color w:val="000000"/>
          <w:sz w:val="28"/>
          <w:szCs w:val="28"/>
          <w:lang w:val="en-US" w:eastAsia="zh-CN"/>
        </w:rPr>
        <w:t>浦发银行余姚支行</w:t>
      </w:r>
      <w:r>
        <w:rPr>
          <w:rFonts w:hint="eastAsia" w:ascii="仿宋_GB2312" w:hAnsi="宋体" w:eastAsia="仿宋_GB2312" w:cs="Times New Roman"/>
          <w:color w:val="000000"/>
          <w:sz w:val="28"/>
          <w:szCs w:val="28"/>
        </w:rPr>
        <w:t xml:space="preserve">                 </w:t>
      </w:r>
    </w:p>
    <w:p w14:paraId="5868B16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s="Times New Roman"/>
          <w:color w:val="000000"/>
          <w:sz w:val="28"/>
          <w:szCs w:val="28"/>
        </w:rPr>
      </w:pPr>
      <w:r>
        <w:rPr>
          <w:rFonts w:hint="eastAsia" w:ascii="仿宋_GB2312" w:hAnsi="宋体" w:eastAsia="仿宋_GB2312" w:cs="Times New Roman"/>
          <w:color w:val="000000"/>
          <w:sz w:val="28"/>
          <w:szCs w:val="28"/>
        </w:rPr>
        <w:t xml:space="preserve">帐 </w:t>
      </w:r>
      <w:r>
        <w:rPr>
          <w:rFonts w:hint="eastAsia" w:ascii="仿宋_GB2312" w:hAnsi="宋体" w:eastAsia="仿宋_GB2312" w:cs="Times New Roman"/>
          <w:color w:val="000000"/>
          <w:sz w:val="28"/>
          <w:szCs w:val="28"/>
          <w:lang w:val="en-US" w:eastAsia="zh-CN"/>
        </w:rPr>
        <w:t xml:space="preserve">   </w:t>
      </w:r>
      <w:r>
        <w:rPr>
          <w:rFonts w:hint="eastAsia" w:ascii="仿宋_GB2312" w:hAnsi="宋体" w:eastAsia="仿宋_GB2312" w:cs="Times New Roman"/>
          <w:color w:val="000000"/>
          <w:sz w:val="28"/>
          <w:szCs w:val="28"/>
        </w:rPr>
        <w:t>号：</w:t>
      </w:r>
      <w:r>
        <w:rPr>
          <w:rFonts w:hint="eastAsia" w:ascii="仿宋_GB2312" w:hAnsi="宋体" w:eastAsia="仿宋_GB2312" w:cs="Times New Roman"/>
          <w:color w:val="000000"/>
          <w:sz w:val="28"/>
          <w:szCs w:val="28"/>
          <w:lang w:val="en-US" w:eastAsia="zh-CN"/>
        </w:rPr>
        <w:t>94060155260001583</w:t>
      </w:r>
    </w:p>
    <w:p w14:paraId="23FA311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w:t>
      </w:r>
      <w:r>
        <w:rPr>
          <w:rFonts w:hint="eastAsia" w:ascii="仿宋_GB2312" w:hAnsi="宋体" w:eastAsia="仿宋_GB2312"/>
          <w:b/>
          <w:color w:val="000000"/>
          <w:sz w:val="28"/>
          <w:szCs w:val="28"/>
        </w:rPr>
        <w:t>租金支付方式：</w:t>
      </w:r>
      <w:r>
        <w:rPr>
          <w:rFonts w:hint="eastAsia" w:ascii="仿宋_GB2312" w:hAnsi="宋体" w:eastAsia="仿宋_GB2312"/>
          <w:color w:val="000000"/>
          <w:sz w:val="28"/>
          <w:szCs w:val="28"/>
        </w:rPr>
        <w:t>转账方式。</w:t>
      </w:r>
    </w:p>
    <w:p w14:paraId="1F4264D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（四）甲方收取租金后，开具</w:t>
      </w:r>
      <w:r>
        <w:rPr>
          <w:rFonts w:hint="eastAsia" w:ascii="仿宋_GB2312" w:hAnsi="宋体" w:eastAsia="仿宋_GB2312"/>
          <w:color w:val="000000"/>
          <w:sz w:val="28"/>
          <w:szCs w:val="28"/>
          <w:lang w:eastAsia="zh-CN"/>
        </w:rPr>
        <w:t>租金发票</w:t>
      </w:r>
      <w:r>
        <w:rPr>
          <w:rFonts w:hint="eastAsia" w:ascii="仿宋_GB2312" w:hAnsi="宋体" w:eastAsia="仿宋_GB2312"/>
          <w:color w:val="000000"/>
          <w:sz w:val="28"/>
          <w:szCs w:val="28"/>
        </w:rPr>
        <w:t>给乙方。</w:t>
      </w:r>
    </w:p>
    <w:p w14:paraId="71DCAE7B">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第四条　履约保证金及其他费用</w:t>
      </w:r>
    </w:p>
    <w:p w14:paraId="14EF6C0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Times New Roman"/>
          <w:color w:val="000000"/>
          <w:sz w:val="28"/>
          <w:szCs w:val="28"/>
        </w:rPr>
      </w:pPr>
      <w:r>
        <w:rPr>
          <w:rFonts w:hint="eastAsia" w:ascii="仿宋_GB2312" w:hAnsi="宋体" w:eastAsia="仿宋_GB2312"/>
          <w:color w:val="000000"/>
          <w:sz w:val="28"/>
          <w:szCs w:val="28"/>
        </w:rPr>
        <w:t xml:space="preserve">   （一）签订本合同时由乙方向甲方交纳履约保证金:</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元</w:t>
      </w:r>
      <w:r>
        <w:rPr>
          <w:rFonts w:hint="eastAsia" w:ascii="仿宋_GB2312" w:hAnsi="宋体" w:eastAsia="仿宋_GB2312"/>
          <w:b/>
          <w:bCs/>
          <w:color w:val="000000"/>
          <w:sz w:val="28"/>
          <w:szCs w:val="28"/>
          <w:lang w:eastAsia="zh-CN"/>
        </w:rPr>
        <w:t>（</w:t>
      </w:r>
      <w:r>
        <w:rPr>
          <w:rFonts w:hint="eastAsia" w:ascii="仿宋_GB2312" w:hAnsi="宋体" w:eastAsia="仿宋_GB2312"/>
          <w:b/>
          <w:bCs/>
          <w:color w:val="000000"/>
          <w:sz w:val="28"/>
          <w:szCs w:val="28"/>
        </w:rPr>
        <w:t>按第1年租金的20%收取</w:t>
      </w:r>
      <w:r>
        <w:rPr>
          <w:rFonts w:hint="eastAsia" w:ascii="仿宋_GB2312" w:hAnsi="宋体" w:eastAsia="仿宋_GB2312"/>
          <w:b/>
          <w:bCs/>
          <w:color w:val="000000"/>
          <w:sz w:val="28"/>
          <w:szCs w:val="28"/>
          <w:lang w:eastAsia="zh-CN"/>
        </w:rPr>
        <w:t>，</w:t>
      </w:r>
      <w:r>
        <w:rPr>
          <w:rFonts w:hint="eastAsia" w:ascii="仿宋_GB2312" w:hAnsi="宋体" w:eastAsia="仿宋_GB2312"/>
          <w:b/>
          <w:bCs/>
          <w:color w:val="000000"/>
          <w:sz w:val="28"/>
          <w:szCs w:val="28"/>
        </w:rPr>
        <w:t>四舍五入，整取到千位）</w:t>
      </w:r>
      <w:r>
        <w:rPr>
          <w:rFonts w:hint="eastAsia" w:ascii="仿宋_GB2312" w:hAnsi="宋体" w:eastAsia="仿宋_GB2312"/>
          <w:color w:val="000000"/>
          <w:sz w:val="28"/>
          <w:szCs w:val="28"/>
        </w:rPr>
        <w:t>。履约保证金收取后，甲方应向乙方开具收款凭证。待租赁期满或合同解除时</w:t>
      </w:r>
      <w:r>
        <w:rPr>
          <w:rFonts w:hint="eastAsia" w:ascii="仿宋_GB2312" w:hAnsi="宋体" w:eastAsia="仿宋_GB2312" w:cs="宋体"/>
          <w:color w:val="000000"/>
          <w:kern w:val="0"/>
          <w:sz w:val="28"/>
          <w:szCs w:val="28"/>
        </w:rPr>
        <w:t>，且乙方</w:t>
      </w:r>
      <w:r>
        <w:rPr>
          <w:rFonts w:hint="eastAsia" w:ascii="仿宋_GB2312" w:hAnsi="宋体" w:eastAsia="仿宋_GB2312"/>
          <w:color w:val="000000"/>
          <w:sz w:val="28"/>
          <w:szCs w:val="28"/>
        </w:rPr>
        <w:t>结清水、电、气、</w:t>
      </w:r>
      <w:r>
        <w:rPr>
          <w:rFonts w:hint="eastAsia" w:ascii="仿宋_GB2312" w:hAnsi="宋体" w:eastAsia="仿宋_GB2312" w:cs="宋体"/>
          <w:color w:val="000000"/>
          <w:kern w:val="0"/>
          <w:sz w:val="28"/>
          <w:szCs w:val="28"/>
        </w:rPr>
        <w:t>物业管理费</w:t>
      </w:r>
      <w:r>
        <w:rPr>
          <w:rFonts w:hint="eastAsia" w:ascii="仿宋_GB2312" w:hAnsi="宋体" w:eastAsia="仿宋_GB2312"/>
          <w:color w:val="000000"/>
          <w:sz w:val="28"/>
          <w:szCs w:val="28"/>
        </w:rPr>
        <w:t>等租赁期间费用，交还钥匙，并在工商登记注</w:t>
      </w:r>
      <w:r>
        <w:rPr>
          <w:rFonts w:hint="eastAsia" w:ascii="仿宋_GB2312" w:hAnsi="宋体" w:eastAsia="仿宋_GB2312" w:cs="Times New Roman"/>
          <w:color w:val="000000"/>
          <w:sz w:val="28"/>
          <w:szCs w:val="28"/>
        </w:rPr>
        <w:t>销或变更经营地后，由甲方一次性退还履约保证金（按银行同期活期存款利率计息）。</w:t>
      </w:r>
    </w:p>
    <w:p w14:paraId="4D93339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（二）如遇乙方拖欠标的租金、水电费等费用及发生其他违约情形时，甲方有权从履约保证金中扣除相应费用，如遇履约保证金不足时，乙方应在接甲方通知后在10日内补足。</w:t>
      </w:r>
    </w:p>
    <w:p w14:paraId="3CCA93A1">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（三）其他费用：甲、乙双方约定，使用租赁标的期间所发生的费用（包括但不限于水 、电 、煤气 、通讯 、设备、物业管理费</w:t>
      </w:r>
      <w:r>
        <w:rPr>
          <w:rFonts w:hint="eastAsia" w:ascii="仿宋_GB2312" w:hAnsi="宋体" w:eastAsia="仿宋_GB2312"/>
          <w:color w:val="000000"/>
          <w:sz w:val="28"/>
          <w:szCs w:val="28"/>
          <w:lang w:val="en-US" w:eastAsia="zh-CN"/>
        </w:rPr>
        <w:t>1元/平方米/月</w:t>
      </w:r>
      <w:r>
        <w:rPr>
          <w:rFonts w:hint="eastAsia" w:ascii="仿宋_GB2312" w:hAnsi="宋体" w:eastAsia="仿宋_GB2312"/>
          <w:color w:val="000000"/>
          <w:sz w:val="28"/>
          <w:szCs w:val="28"/>
        </w:rPr>
        <w:t>、垃圾搬运费等）全部由乙方承担。乙方承担的上述费用，计算或分摊办法、支付方式和时间均按国家规定收费标准支付。</w:t>
      </w:r>
    </w:p>
    <w:p w14:paraId="22AFDC2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第五条  标的交接、使用及维修</w:t>
      </w:r>
    </w:p>
    <w:p w14:paraId="4E459A6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（一）甲方按标的的现状交付给乙方使用，涉及经营的相关证照由乙方自行向有关部门申请办理，涉及的各项税费等由乙方自行承担，与甲方无涉。</w:t>
      </w:r>
    </w:p>
    <w:p w14:paraId="7570934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（二）乙方负责标的的正常维修和维护，并承担一切费用，但主体结构、屋面及外墙面由甲方负责，乙方发现主体结构、屋面及外墙面需维修时，应及时书面告知甲方，如无告知，甲方不承担任何损失。</w:t>
      </w:r>
    </w:p>
    <w:p w14:paraId="031980E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s="Times New Roman"/>
          <w:color w:val="000000"/>
          <w:sz w:val="28"/>
          <w:szCs w:val="28"/>
        </w:rPr>
      </w:pPr>
      <w:r>
        <w:rPr>
          <w:rFonts w:hint="eastAsia" w:ascii="仿宋_GB2312" w:hAnsi="宋体" w:eastAsia="仿宋_GB2312"/>
          <w:color w:val="000000"/>
          <w:sz w:val="28"/>
          <w:szCs w:val="28"/>
        </w:rPr>
        <w:t xml:space="preserve">   （三）</w:t>
      </w:r>
      <w:r>
        <w:rPr>
          <w:rFonts w:hint="eastAsia" w:ascii="仿宋_GB2312" w:hAnsi="宋体" w:eastAsia="仿宋_GB2312" w:cs="Times New Roman"/>
          <w:color w:val="000000"/>
          <w:sz w:val="28"/>
          <w:szCs w:val="28"/>
        </w:rPr>
        <w:t>乙方应严格按照</w:t>
      </w:r>
      <w:r>
        <w:rPr>
          <w:rFonts w:hint="eastAsia" w:ascii="仿宋_GB2312" w:hAnsi="宋体" w:eastAsia="仿宋_GB2312" w:cs="Times New Roman"/>
          <w:color w:val="000000"/>
          <w:sz w:val="28"/>
          <w:szCs w:val="28"/>
          <w:lang w:val="en-US" w:eastAsia="zh-CN"/>
        </w:rPr>
        <w:t>相关法律法规及相关</w:t>
      </w:r>
      <w:r>
        <w:rPr>
          <w:rFonts w:hint="eastAsia" w:ascii="仿宋_GB2312" w:hAnsi="宋体" w:eastAsia="仿宋_GB2312" w:cs="Times New Roman"/>
          <w:color w:val="000000"/>
          <w:sz w:val="28"/>
          <w:szCs w:val="28"/>
        </w:rPr>
        <w:t>管理部门要求做好</w:t>
      </w:r>
      <w:r>
        <w:rPr>
          <w:rFonts w:hint="eastAsia" w:ascii="仿宋_GB2312" w:hAnsi="宋体" w:eastAsia="仿宋_GB2312" w:cs="Times New Roman"/>
          <w:color w:val="000000"/>
          <w:sz w:val="28"/>
          <w:szCs w:val="28"/>
          <w:lang w:val="en-US" w:eastAsia="zh-CN"/>
        </w:rPr>
        <w:t>消防</w:t>
      </w:r>
      <w:r>
        <w:rPr>
          <w:rFonts w:hint="eastAsia" w:ascii="仿宋_GB2312" w:hAnsi="宋体" w:eastAsia="仿宋_GB2312" w:cs="Times New Roman"/>
          <w:color w:val="000000"/>
          <w:sz w:val="28"/>
          <w:szCs w:val="28"/>
        </w:rPr>
        <w:t>安全、</w:t>
      </w:r>
      <w:r>
        <w:rPr>
          <w:rFonts w:hint="eastAsia" w:ascii="仿宋_GB2312" w:hAnsi="宋体" w:eastAsia="仿宋_GB2312" w:cs="Times New Roman"/>
          <w:color w:val="000000"/>
          <w:sz w:val="28"/>
          <w:szCs w:val="28"/>
          <w:lang w:val="en-US" w:eastAsia="zh-CN"/>
        </w:rPr>
        <w:t>电气安全、</w:t>
      </w:r>
      <w:r>
        <w:rPr>
          <w:rFonts w:hint="eastAsia" w:ascii="仿宋_GB2312" w:hAnsi="宋体" w:eastAsia="仿宋_GB2312" w:cs="Times New Roman"/>
          <w:color w:val="000000"/>
          <w:sz w:val="28"/>
          <w:szCs w:val="28"/>
        </w:rPr>
        <w:t>环保</w:t>
      </w:r>
      <w:r>
        <w:rPr>
          <w:rFonts w:hint="eastAsia" w:ascii="仿宋_GB2312" w:hAnsi="宋体" w:eastAsia="仿宋_GB2312" w:cs="Times New Roman"/>
          <w:color w:val="000000"/>
          <w:sz w:val="28"/>
          <w:szCs w:val="28"/>
          <w:lang w:val="en-US" w:eastAsia="zh-CN"/>
        </w:rPr>
        <w:t>安全</w:t>
      </w:r>
      <w:r>
        <w:rPr>
          <w:rFonts w:hint="eastAsia" w:ascii="仿宋_GB2312" w:hAnsi="宋体" w:eastAsia="仿宋_GB2312" w:cs="Times New Roman"/>
          <w:color w:val="000000"/>
          <w:sz w:val="28"/>
          <w:szCs w:val="28"/>
        </w:rPr>
        <w:t>等相关工作，因</w:t>
      </w:r>
      <w:r>
        <w:rPr>
          <w:rFonts w:hint="eastAsia" w:ascii="仿宋_GB2312" w:hAnsi="宋体" w:eastAsia="仿宋_GB2312" w:cs="Times New Roman"/>
          <w:color w:val="000000"/>
          <w:sz w:val="28"/>
          <w:szCs w:val="28"/>
          <w:lang w:val="en-US" w:eastAsia="zh-CN"/>
        </w:rPr>
        <w:t>设备设施配置不到位、管理</w:t>
      </w:r>
      <w:r>
        <w:rPr>
          <w:rFonts w:hint="eastAsia" w:ascii="仿宋_GB2312" w:hAnsi="宋体" w:eastAsia="仿宋_GB2312" w:cs="Times New Roman"/>
          <w:color w:val="000000"/>
          <w:sz w:val="28"/>
          <w:szCs w:val="28"/>
        </w:rPr>
        <w:t>工作措施不到位而</w:t>
      </w:r>
      <w:r>
        <w:rPr>
          <w:rFonts w:hint="eastAsia" w:ascii="仿宋_GB2312" w:hAnsi="宋体" w:eastAsia="仿宋_GB2312" w:cs="Times New Roman"/>
          <w:color w:val="000000"/>
          <w:sz w:val="28"/>
          <w:szCs w:val="28"/>
          <w:lang w:val="en-US" w:eastAsia="zh-CN"/>
        </w:rPr>
        <w:t>发</w:t>
      </w:r>
      <w:r>
        <w:rPr>
          <w:rFonts w:hint="eastAsia" w:ascii="仿宋_GB2312" w:hAnsi="宋体" w:eastAsia="仿宋_GB2312" w:cs="Times New Roman"/>
          <w:color w:val="000000"/>
          <w:sz w:val="28"/>
          <w:szCs w:val="28"/>
        </w:rPr>
        <w:t>生</w:t>
      </w:r>
      <w:r>
        <w:rPr>
          <w:rFonts w:hint="eastAsia" w:ascii="仿宋_GB2312" w:hAnsi="宋体" w:eastAsia="仿宋_GB2312" w:cs="Times New Roman"/>
          <w:color w:val="000000"/>
          <w:sz w:val="28"/>
          <w:szCs w:val="28"/>
          <w:lang w:val="en-US" w:eastAsia="zh-CN"/>
        </w:rPr>
        <w:t>安全生产</w:t>
      </w:r>
      <w:r>
        <w:rPr>
          <w:rFonts w:hint="eastAsia" w:ascii="仿宋_GB2312" w:hAnsi="宋体" w:eastAsia="仿宋_GB2312" w:cs="Times New Roman"/>
          <w:color w:val="000000"/>
          <w:sz w:val="28"/>
          <w:szCs w:val="28"/>
        </w:rPr>
        <w:t>责任事故</w:t>
      </w:r>
      <w:r>
        <w:rPr>
          <w:rFonts w:hint="eastAsia" w:ascii="仿宋_GB2312" w:hAnsi="宋体" w:eastAsia="仿宋_GB2312" w:cs="Times New Roman"/>
          <w:color w:val="000000"/>
          <w:sz w:val="28"/>
          <w:szCs w:val="28"/>
          <w:lang w:eastAsia="zh-CN"/>
        </w:rPr>
        <w:t>、</w:t>
      </w:r>
      <w:r>
        <w:rPr>
          <w:rFonts w:hint="eastAsia" w:ascii="仿宋_GB2312" w:hAnsi="宋体" w:eastAsia="仿宋_GB2312" w:cs="Times New Roman"/>
          <w:color w:val="000000"/>
          <w:sz w:val="28"/>
          <w:szCs w:val="28"/>
          <w:lang w:val="en-US" w:eastAsia="zh-CN"/>
        </w:rPr>
        <w:t>火灾事故造成经济</w:t>
      </w:r>
      <w:r>
        <w:rPr>
          <w:rFonts w:hint="eastAsia" w:ascii="仿宋_GB2312" w:hAnsi="宋体" w:eastAsia="仿宋_GB2312" w:cs="Times New Roman"/>
          <w:color w:val="000000"/>
          <w:sz w:val="28"/>
          <w:szCs w:val="28"/>
        </w:rPr>
        <w:t>损失（包括第三方的经济责任）</w:t>
      </w:r>
      <w:r>
        <w:rPr>
          <w:rFonts w:hint="eastAsia" w:ascii="仿宋_GB2312" w:hAnsi="宋体" w:eastAsia="仿宋_GB2312" w:cs="Times New Roman"/>
          <w:color w:val="000000"/>
          <w:sz w:val="28"/>
          <w:szCs w:val="28"/>
          <w:lang w:val="en-US" w:eastAsia="zh-CN"/>
        </w:rPr>
        <w:t>均</w:t>
      </w:r>
      <w:r>
        <w:rPr>
          <w:rFonts w:hint="eastAsia" w:ascii="仿宋_GB2312" w:hAnsi="宋体" w:eastAsia="仿宋_GB2312" w:cs="Times New Roman"/>
          <w:color w:val="000000"/>
          <w:sz w:val="28"/>
          <w:szCs w:val="28"/>
        </w:rPr>
        <w:t>由乙方承担，与甲方无涉。</w:t>
      </w:r>
    </w:p>
    <w:p w14:paraId="1266107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（四）乙方不得利用标的进行违法活动，积极配合相关部门的检查；乙方须独立承担一切经济及安全法律责任，与甲方无涉。</w:t>
      </w:r>
    </w:p>
    <w:p w14:paraId="7BB3067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五）乙方装修时不得在标的内任意改变主体结构，需要对标的外立面和内部装修改造时，须将设计方案报甲方备案，若需经相关职能部门批准的，由乙方自行办理相关审批手续并承担费用；同时乙方应将自行装修的图纸给予甲方一份，并承诺自行装修的标的安全牢固，符合安全要求。</w:t>
      </w:r>
    </w:p>
    <w:p w14:paraId="3E8E9D5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（六）如乙方需对标的现有配备的水、电设施进行改造、升级、扩容的，由此产生的费用和责任均由乙方承担。本合同终止（或解除），乙方搬离标的时不得拆除前述的水电设施</w:t>
      </w:r>
      <w:r>
        <w:rPr>
          <w:rFonts w:hint="eastAsia" w:ascii="仿宋_GB2312" w:hAnsi="宋体" w:eastAsia="仿宋_GB2312"/>
          <w:color w:val="000000"/>
          <w:sz w:val="28"/>
          <w:szCs w:val="28"/>
          <w:lang w:eastAsia="zh-CN"/>
        </w:rPr>
        <w:t>产权归甲方所有</w:t>
      </w:r>
      <w:r>
        <w:rPr>
          <w:rFonts w:hint="eastAsia" w:ascii="仿宋_GB2312" w:hAnsi="宋体" w:eastAsia="仿宋_GB2312"/>
          <w:color w:val="000000"/>
          <w:sz w:val="28"/>
          <w:szCs w:val="28"/>
        </w:rPr>
        <w:t>，且甲方不作任何补偿。</w:t>
      </w:r>
    </w:p>
    <w:p w14:paraId="7F26A0EE">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微软雅黑" w:eastAsia="仿宋_GB2312"/>
          <w:color w:val="000000"/>
          <w:sz w:val="28"/>
          <w:szCs w:val="28"/>
          <w:shd w:val="clear" w:color="auto" w:fill="FFFFFF"/>
          <w:lang w:val="en-US" w:eastAsia="zh-CN"/>
        </w:rPr>
      </w:pPr>
      <w:r>
        <w:rPr>
          <w:rFonts w:hint="eastAsia" w:ascii="仿宋_GB2312" w:hAnsi="宋体" w:eastAsia="仿宋_GB2312"/>
          <w:color w:val="000000"/>
          <w:sz w:val="28"/>
          <w:szCs w:val="28"/>
        </w:rPr>
        <w:t xml:space="preserve">   （七）乙方不得超范围安装广告牌（包括店名牌等）</w:t>
      </w:r>
      <w:r>
        <w:rPr>
          <w:rFonts w:hint="eastAsia" w:ascii="仿宋_GB2312" w:hAnsi="宋体" w:eastAsia="仿宋_GB2312"/>
          <w:color w:val="000000"/>
          <w:sz w:val="28"/>
          <w:szCs w:val="28"/>
          <w:lang w:eastAsia="zh-CN"/>
        </w:rPr>
        <w:t>、搭建临时构建物</w:t>
      </w:r>
      <w:r>
        <w:rPr>
          <w:rFonts w:hint="eastAsia" w:ascii="仿宋_GB2312" w:hAnsi="宋体" w:eastAsia="仿宋_GB2312"/>
          <w:color w:val="000000"/>
          <w:sz w:val="28"/>
          <w:szCs w:val="28"/>
        </w:rPr>
        <w:t>，否则甲方有权要求乙方整改或者拆除，拆除费用由乙方承担。</w:t>
      </w:r>
    </w:p>
    <w:p w14:paraId="353293B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第六条  转让、转租、转借及分租</w:t>
      </w:r>
    </w:p>
    <w:p w14:paraId="2763DC0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b/>
          <w:color w:val="000000"/>
          <w:sz w:val="28"/>
          <w:szCs w:val="28"/>
        </w:rPr>
        <w:t xml:space="preserve"> </w:t>
      </w:r>
      <w:r>
        <w:rPr>
          <w:rFonts w:hint="eastAsia" w:ascii="仿宋_GB2312" w:hAnsi="宋体" w:eastAsia="仿宋_GB2312"/>
          <w:color w:val="000000"/>
          <w:sz w:val="28"/>
          <w:szCs w:val="28"/>
        </w:rPr>
        <w:t xml:space="preserve">  （一）在租赁期内，甲方有权自行出售标的，但应提前</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个月书面通知乙方，乙方在同等条件下有优先购买权；乙方收到通知后</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个月内未书面主张优先购买权的，视为放弃优先购买权。</w:t>
      </w:r>
    </w:p>
    <w:p w14:paraId="2C0A45C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（二）标的未经甲方同意，乙方不得擅自将标的转租、转借及分租。</w:t>
      </w:r>
    </w:p>
    <w:p w14:paraId="706A9AB2">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宋体" w:eastAsia="仿宋_GB2312"/>
          <w:b/>
          <w:color w:val="000000"/>
          <w:sz w:val="28"/>
          <w:szCs w:val="28"/>
        </w:rPr>
      </w:pPr>
      <w:r>
        <w:rPr>
          <w:rFonts w:hint="eastAsia" w:ascii="仿宋_GB2312" w:hAnsi="宋体" w:eastAsia="仿宋_GB2312"/>
          <w:b/>
          <w:color w:val="000000"/>
          <w:sz w:val="28"/>
          <w:szCs w:val="28"/>
        </w:rPr>
        <w:t>第七条  解除本合同的条件及违约责任</w:t>
      </w:r>
    </w:p>
    <w:p w14:paraId="5DC0798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（一）有下列情形之一，甲方有权解除本合同：</w:t>
      </w:r>
    </w:p>
    <w:p w14:paraId="6DEAD69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1、乙方未按本合同约定期限及时、足额支付租金以及其他相关费用逾期满30日的。</w:t>
      </w:r>
    </w:p>
    <w:p w14:paraId="0A0815C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2、乙方未按本合同约定补足履约保证金逾期满30日的。</w:t>
      </w:r>
    </w:p>
    <w:p w14:paraId="6B9E24E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3、乙方擅自转租、转借及分租的。</w:t>
      </w:r>
    </w:p>
    <w:p w14:paraId="4E76EB6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4、乙方利用标的进行非法活动。</w:t>
      </w:r>
    </w:p>
    <w:p w14:paraId="172CF5E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5、乙方不承担维修和维护责任致使标的严重损坏，或经甲方代为维修后，拒不承担维修费用的。</w:t>
      </w:r>
    </w:p>
    <w:p w14:paraId="7527DE7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6、乙方违反安全生产、消防等相关法律法规规定及本合同约定，不及时消除安全生产隐患或消防隐患，导致损害公共利益或者他人利益的，经书面通知仍不整改或整改不到位、或致使发生安全生产或消防事故的。</w:t>
      </w:r>
    </w:p>
    <w:p w14:paraId="33BF91F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7、乙方在标的内任意改变主体结构、搭建建筑物和构筑物、未经甲方书面同意对标的外立面和内部装修改造的。</w:t>
      </w:r>
    </w:p>
    <w:p w14:paraId="5CF988B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8、乙方违反本合同第八条第（二）约定，致使甲方工作人员被追究刑事责任的。</w:t>
      </w:r>
    </w:p>
    <w:p w14:paraId="4A91DCA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9、乙方违反本合同第一条第（三）约定，不配合甲方办理抵押手续的。</w:t>
      </w:r>
    </w:p>
    <w:p w14:paraId="6B9BCD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10、乙方出现其他违约事项，经甲方多次催告后仍拒不改正的。</w:t>
      </w:r>
    </w:p>
    <w:p w14:paraId="500F6DB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因乙方存在上述情况，甲方采取法律途径进行诉讼的，相应的诉讼费用（包括但不限于律师费、诉讼费、保全费等）均由乙方承担。</w:t>
      </w:r>
    </w:p>
    <w:p w14:paraId="35771FC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（二）有下列情形之一，乙方有权解除本合同：</w:t>
      </w:r>
    </w:p>
    <w:p w14:paraId="053D9D8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1、甲方迟延交付标的</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个月及以上的。</w:t>
      </w:r>
    </w:p>
    <w:p w14:paraId="77DAC96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2、甲方违反本租赁合同约定，使乙方无法按约定用途使用标的的。</w:t>
      </w:r>
    </w:p>
    <w:p w14:paraId="49340CB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乙方因上述情形解除合同的，应书面通知甲方。已占用标的的，应及时搬离。</w:t>
      </w:r>
    </w:p>
    <w:p w14:paraId="0FF81BF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（三）特殊情况下解除本合同：</w:t>
      </w:r>
    </w:p>
    <w:p w14:paraId="41BADB3B">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1、租赁期间，如遇政府征收（收购）拆迁改造和城市建设施工或城市基础设施改造施工等，则须提前</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个月书面通知乙方，乙方应无条件服从并及时归还标的，甲方不承担违约责任和任何形式的补偿。租金按照实际使用时间计算，多退少补，履约保证金予以返还。</w:t>
      </w:r>
    </w:p>
    <w:p w14:paraId="2F3A4B1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如遇政府征收（收购）拆迁改造和城市建设施工或城市基础设施改造施工等其他所有拆迁政府补偿费用归甲方所有，但乙方自行装修和添置的设施设备政府补偿归乙方所有,并且甲方不作任何补偿。</w:t>
      </w:r>
    </w:p>
    <w:p w14:paraId="6A0B332D">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2、如乙方要求进行退租的，则须提前</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个月书面通知甲方，经甲方同意后，方可办理退租手续；租期不足</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个月的按</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个月收取租金，剩余已付租金退还，但履约保证金不予退还。</w:t>
      </w:r>
    </w:p>
    <w:p w14:paraId="0A49D64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3、因不可抗力原因致使本合同不能继续履行或造成的损失，任何一方均可提前解除本合同，且双方互不承担责任。租金按照实际使用时间计算，多退少补，履约保证金予以返还。</w:t>
      </w:r>
    </w:p>
    <w:p w14:paraId="1BB5975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4、甲方将整体产权转让时或收回自用的，乙方应无条件服从并及时归还标的，甲方不承担违约责任和任何形式的补偿。</w:t>
      </w:r>
    </w:p>
    <w:p w14:paraId="1B75070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（四）甲方的违约责任：</w:t>
      </w:r>
    </w:p>
    <w:p w14:paraId="2EA5B48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1、甲方逾期交付标的的，应向乙方支付违约金，违约金每日按年租金额的万分之五计算。</w:t>
      </w:r>
    </w:p>
    <w:p w14:paraId="1B95216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2、因甲方原因致使乙方解除本合同的，租金按照实际使用时间计算，多退少补，履约保证金予以返还并向乙方支付违约金，违约金按解除本合同时的年租金额的20%计算。</w:t>
      </w:r>
    </w:p>
    <w:p w14:paraId="194C909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（五）乙方的违约责任：</w:t>
      </w:r>
    </w:p>
    <w:p w14:paraId="608EBD98">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ascii="仿宋_GB2312" w:hAnsi="宋体" w:eastAsia="仿宋_GB2312"/>
          <w:color w:val="000000"/>
          <w:sz w:val="28"/>
          <w:szCs w:val="28"/>
          <w:u w:val="single"/>
        </w:rPr>
      </w:pPr>
      <w:r>
        <w:rPr>
          <w:rFonts w:hint="eastAsia" w:ascii="仿宋_GB2312" w:hAnsi="宋体" w:eastAsia="仿宋_GB2312"/>
          <w:color w:val="000000"/>
          <w:sz w:val="28"/>
          <w:szCs w:val="28"/>
        </w:rPr>
        <w:t xml:space="preserve">  1、乙方逾期支付租金或补足履约保证金的，应向甲方支付违约金，违约金每日按逾期支付租金额或应补足履约保证金额的万分之五计算。</w:t>
      </w:r>
    </w:p>
    <w:p w14:paraId="32A16C08">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2、因乙方原因致使甲方解除本合同的，租期不足</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个月的按</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个月收取租金，剩余已付租金退还，但履约保证金不予返还，并向甲方支付违约金，违约金按解除本合同时的年租金额的20%计算。</w:t>
      </w:r>
    </w:p>
    <w:p w14:paraId="7AE28F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3、租赁期满或合同解除时，乙方逾期交还标的的，应向甲方支付租赁期届满之年或合同解除之年的年租金标准的支付占用期间使用费，并向甲方支付违约金，违约金为占用期间使用费的</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倍。</w:t>
      </w:r>
    </w:p>
    <w:p w14:paraId="76FB2F0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第八条  廉政约定</w:t>
      </w:r>
    </w:p>
    <w:p w14:paraId="79EB7F2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一）双方必须严格遵守党和国家有关法律法规，双方的各项业务活动必须公开、公正、诚信、透明，不得获取不正当的利益，损害国家、集体和对方利益。发现其中一方及其工作人员在业务活动中有违规、违纪、违法行为的，另一方应及时提醒或向其上级主管部门举报。</w:t>
      </w:r>
    </w:p>
    <w:p w14:paraId="400763C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（二）承诺内容</w:t>
      </w:r>
    </w:p>
    <w:p w14:paraId="064F0D8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1、合同双方工作人员不得索要或收受对方一切贿赂或行贿对方工作人员。</w:t>
      </w:r>
    </w:p>
    <w:p w14:paraId="16E6F41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2、甲方工作人员不得参与或介绍亲朋参与与乙方有关的经营活动，不得介绍亲朋到乙方工作。</w:t>
      </w:r>
    </w:p>
    <w:p w14:paraId="5BE023C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3、双方不得组织或参加有可能妨碍双方公正公务的宴请及娱乐活动。</w:t>
      </w:r>
    </w:p>
    <w:p w14:paraId="0FD69EC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4、甲乙双方不得为谋取不正当利益擅自与对方工作人员就租赁关系的各项相关事项进行私下商谈或者达成默契。</w:t>
      </w:r>
    </w:p>
    <w:p w14:paraId="5BA7F1B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（三）违约条款</w:t>
      </w:r>
    </w:p>
    <w:p w14:paraId="77E0FCB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1、甲方及其工作人员违反上述规定，依据有关规定给予党纪、政纪或组织处理；涉嫌犯罪的，移交司法机关追究刑事责任。</w:t>
      </w:r>
    </w:p>
    <w:p w14:paraId="2B85956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2、因乙方违反上述约定导致甲方工作人员违反上述规定的，视情节轻重，甲方扣除乙方10%—50%的履约保证金。</w:t>
      </w:r>
    </w:p>
    <w:p w14:paraId="334ACAE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第九条　标的返还约定</w:t>
      </w:r>
    </w:p>
    <w:p w14:paraId="2F5645C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b/>
          <w:color w:val="000000"/>
          <w:sz w:val="28"/>
          <w:szCs w:val="28"/>
        </w:rPr>
        <w:t xml:space="preserve">    </w:t>
      </w:r>
      <w:r>
        <w:rPr>
          <w:rFonts w:hint="eastAsia" w:ascii="仿宋_GB2312" w:hAnsi="宋体" w:eastAsia="仿宋_GB2312"/>
          <w:color w:val="000000"/>
          <w:sz w:val="28"/>
          <w:szCs w:val="28"/>
        </w:rPr>
        <w:t>1、乙方应在本合同的租期届满或提前解除合同后的10日内返还所租赁标的及其附属设施，</w:t>
      </w:r>
      <w:r>
        <w:rPr>
          <w:rFonts w:hint="eastAsia" w:ascii="仿宋_GB2312" w:hAnsi="宋体" w:eastAsia="仿宋_GB2312" w:cs="宋体"/>
          <w:color w:val="000000"/>
          <w:sz w:val="28"/>
          <w:szCs w:val="28"/>
        </w:rPr>
        <w:t>乙方有权将自行添置的可移动部分各类财产收回</w:t>
      </w:r>
      <w:r>
        <w:rPr>
          <w:rFonts w:hint="eastAsia" w:ascii="仿宋_GB2312" w:hAnsi="宋体" w:eastAsia="仿宋_GB2312" w:cs="宋体"/>
          <w:color w:val="000000"/>
          <w:kern w:val="0"/>
          <w:sz w:val="28"/>
          <w:szCs w:val="28"/>
        </w:rPr>
        <w:t>自行处理，但固定装饰物（指装饰在固定建筑物上，与建筑物不可分离的部分，包括中央空调）所有权归甲方所有，</w:t>
      </w:r>
      <w:r>
        <w:rPr>
          <w:rFonts w:hint="eastAsia" w:ascii="仿宋_GB2312" w:hAnsi="宋体" w:eastAsia="仿宋_GB2312"/>
          <w:color w:val="000000"/>
          <w:sz w:val="28"/>
          <w:szCs w:val="28"/>
        </w:rPr>
        <w:t>乙方</w:t>
      </w:r>
      <w:r>
        <w:rPr>
          <w:rFonts w:hint="eastAsia" w:ascii="仿宋_GB2312" w:hAnsi="宋体" w:eastAsia="仿宋_GB2312" w:cs="宋体"/>
          <w:color w:val="000000"/>
          <w:kern w:val="0"/>
          <w:sz w:val="28"/>
          <w:szCs w:val="28"/>
        </w:rPr>
        <w:t>不得拆除，且甲方不作任何经济补偿。</w:t>
      </w:r>
      <w:r>
        <w:rPr>
          <w:rFonts w:hint="eastAsia" w:ascii="仿宋_GB2312" w:hAnsi="宋体" w:eastAsia="仿宋_GB2312"/>
          <w:color w:val="000000"/>
          <w:sz w:val="28"/>
          <w:szCs w:val="28"/>
        </w:rPr>
        <w:t>超过10日的，甲方有权对所租赁标的及其附属设施自行处理，对逾期未搬的物品，甲方有权以废弃物予以处理。</w:t>
      </w:r>
    </w:p>
    <w:p w14:paraId="06D2596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2、乙方返还所租赁标的及其附属设施应当符合正常使用后的状态。返还时，应经甲方验收签字认可，并相互结清各自应当承担的费用。</w:t>
      </w:r>
    </w:p>
    <w:p w14:paraId="638E854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第十条  解决争议的方式</w:t>
      </w:r>
    </w:p>
    <w:p w14:paraId="42FD84B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合同未尽事宜双方协商解决；协商不成及合同履行过程中发生争议，向甲方所在地人民法院提起诉讼。</w:t>
      </w:r>
    </w:p>
    <w:p w14:paraId="19EEF0F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000000"/>
          <w:sz w:val="28"/>
          <w:szCs w:val="28"/>
        </w:rPr>
      </w:pPr>
      <w:r>
        <w:rPr>
          <w:rFonts w:hint="eastAsia" w:ascii="仿宋_GB2312" w:hAnsi="宋体" w:eastAsia="仿宋_GB2312"/>
          <w:color w:val="000000"/>
          <w:sz w:val="28"/>
          <w:szCs w:val="28"/>
        </w:rPr>
        <w:t xml:space="preserve">   </w:t>
      </w:r>
      <w:r>
        <w:rPr>
          <w:rFonts w:hint="eastAsia" w:ascii="仿宋_GB2312" w:hAnsi="宋体" w:eastAsia="仿宋_GB2312"/>
          <w:b/>
          <w:color w:val="000000"/>
          <w:sz w:val="28"/>
          <w:szCs w:val="28"/>
        </w:rPr>
        <w:t xml:space="preserve"> 第十一条  其他条款</w:t>
      </w:r>
    </w:p>
    <w:p w14:paraId="17B9536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甲方联系地址：</w:t>
      </w:r>
    </w:p>
    <w:p w14:paraId="2C0059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甲方联系电话：</w:t>
      </w:r>
    </w:p>
    <w:p w14:paraId="3ECA96E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乙方联系地址：</w:t>
      </w:r>
    </w:p>
    <w:p w14:paraId="49043FE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乙方身份证号：</w:t>
      </w:r>
    </w:p>
    <w:p w14:paraId="0353201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乙方联系电话：</w:t>
      </w:r>
    </w:p>
    <w:p w14:paraId="45BE820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甲、乙双方如向前述对方联系地址以挂号信等方式邮寄法律文书或通知等，邮件发出后三日不退回即视为法律文书或通知等已送达对方。</w:t>
      </w:r>
    </w:p>
    <w:p w14:paraId="52B068A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本合同一式叁份，经双方签字、盖章后生效。其中：甲方持贰份、乙方持壹份。</w:t>
      </w:r>
    </w:p>
    <w:p w14:paraId="4C9FEAD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宋体" w:eastAsia="仿宋_GB2312"/>
          <w:color w:val="000000"/>
          <w:sz w:val="28"/>
          <w:szCs w:val="28"/>
        </w:rPr>
      </w:pPr>
    </w:p>
    <w:p w14:paraId="00BBAA2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甲方（盖章）：                       乙方（盖章）：</w:t>
      </w:r>
    </w:p>
    <w:p w14:paraId="135DA36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宋体" w:eastAsia="仿宋_GB2312"/>
          <w:color w:val="000000"/>
          <w:sz w:val="28"/>
          <w:szCs w:val="28"/>
        </w:rPr>
      </w:pPr>
    </w:p>
    <w:p w14:paraId="02933580">
      <w:pPr>
        <w:keepNext w:val="0"/>
        <w:keepLines w:val="0"/>
        <w:pageBreakBefore w:val="0"/>
        <w:widowControl w:val="0"/>
        <w:tabs>
          <w:tab w:val="left" w:pos="6059"/>
        </w:tabs>
        <w:kinsoku/>
        <w:wordWrap/>
        <w:overflowPunct/>
        <w:topLinePunct w:val="0"/>
        <w:autoSpaceDE/>
        <w:autoSpaceDN/>
        <w:bidi w:val="0"/>
        <w:adjustRightInd/>
        <w:snapToGrid w:val="0"/>
        <w:spacing w:line="480" w:lineRule="exact"/>
        <w:ind w:left="-180"/>
        <w:textAlignment w:val="auto"/>
        <w:rPr>
          <w:rFonts w:hint="eastAsia" w:ascii="仿宋_GB2312" w:hAnsi="宋体" w:eastAsia="仿宋_GB2312"/>
          <w:color w:val="000000"/>
          <w:sz w:val="28"/>
          <w:szCs w:val="28"/>
        </w:rPr>
      </w:pPr>
      <w:r>
        <w:rPr>
          <w:rFonts w:hint="eastAsia" w:ascii="仿宋_GB2312" w:hAnsi="宋体" w:eastAsia="仿宋_GB2312" w:cs="宋体"/>
          <w:snapToGrid w:val="0"/>
          <w:color w:val="000000"/>
          <w:sz w:val="28"/>
          <w:szCs w:val="28"/>
        </w:rPr>
        <w:t xml:space="preserve">    法定代表人</w:t>
      </w:r>
      <w:r>
        <w:rPr>
          <w:rFonts w:hint="eastAsia" w:ascii="仿宋_GB2312" w:hAnsi="宋体" w:eastAsia="仿宋_GB2312"/>
          <w:color w:val="000000"/>
          <w:sz w:val="28"/>
          <w:szCs w:val="28"/>
        </w:rPr>
        <w:t xml:space="preserve">或                        </w:t>
      </w:r>
      <w:r>
        <w:rPr>
          <w:rFonts w:hint="eastAsia" w:ascii="仿宋_GB2312" w:hAnsi="宋体" w:eastAsia="仿宋_GB2312" w:cs="宋体"/>
          <w:snapToGrid w:val="0"/>
          <w:color w:val="000000"/>
          <w:sz w:val="28"/>
          <w:szCs w:val="28"/>
        </w:rPr>
        <w:t>法定代表人</w:t>
      </w:r>
      <w:r>
        <w:rPr>
          <w:rFonts w:hint="eastAsia" w:ascii="仿宋_GB2312" w:hAnsi="宋体" w:eastAsia="仿宋_GB2312"/>
          <w:color w:val="000000"/>
          <w:sz w:val="28"/>
          <w:szCs w:val="28"/>
        </w:rPr>
        <w:t>或</w:t>
      </w:r>
    </w:p>
    <w:p w14:paraId="12EA080E">
      <w:pPr>
        <w:keepNext w:val="0"/>
        <w:keepLines w:val="0"/>
        <w:pageBreakBefore w:val="0"/>
        <w:widowControl w:val="0"/>
        <w:tabs>
          <w:tab w:val="left" w:pos="6059"/>
        </w:tabs>
        <w:kinsoku/>
        <w:wordWrap/>
        <w:overflowPunct/>
        <w:topLinePunct w:val="0"/>
        <w:autoSpaceDE/>
        <w:autoSpaceDN/>
        <w:bidi w:val="0"/>
        <w:adjustRightInd/>
        <w:snapToGrid w:val="0"/>
        <w:spacing w:line="480" w:lineRule="exact"/>
        <w:ind w:left="-180"/>
        <w:textAlignment w:val="auto"/>
        <w:rPr>
          <w:rFonts w:hint="eastAsia" w:ascii="仿宋_GB2312" w:hAnsi="宋体" w:eastAsia="仿宋_GB2312"/>
          <w:b/>
          <w:bCs/>
          <w:color w:val="000000"/>
          <w:sz w:val="28"/>
          <w:szCs w:val="28"/>
        </w:rPr>
      </w:pPr>
      <w:r>
        <w:rPr>
          <w:rFonts w:hint="eastAsia" w:ascii="仿宋_GB2312" w:hAnsi="宋体" w:eastAsia="仿宋_GB2312"/>
          <w:color w:val="000000"/>
          <w:sz w:val="28"/>
          <w:szCs w:val="28"/>
        </w:rPr>
        <w:t xml:space="preserve">   其授权代表（签字）</w:t>
      </w:r>
      <w:r>
        <w:rPr>
          <w:rFonts w:hint="eastAsia" w:ascii="仿宋_GB2312" w:hAnsi="宋体" w:eastAsia="仿宋_GB2312" w:cs="宋体"/>
          <w:snapToGrid w:val="0"/>
          <w:color w:val="000000"/>
          <w:sz w:val="28"/>
          <w:szCs w:val="28"/>
        </w:rPr>
        <w:t xml:space="preserve">：                 </w:t>
      </w:r>
      <w:r>
        <w:rPr>
          <w:rFonts w:hint="eastAsia" w:ascii="仿宋_GB2312" w:hAnsi="宋体" w:eastAsia="仿宋_GB2312"/>
          <w:color w:val="000000"/>
          <w:sz w:val="28"/>
          <w:szCs w:val="28"/>
        </w:rPr>
        <w:t>其授权代表（签字）</w:t>
      </w:r>
      <w:r>
        <w:rPr>
          <w:rFonts w:hint="eastAsia" w:ascii="仿宋_GB2312" w:hAnsi="宋体" w:eastAsia="仿宋_GB2312"/>
          <w:b/>
          <w:bCs/>
          <w:color w:val="000000"/>
          <w:sz w:val="28"/>
          <w:szCs w:val="28"/>
        </w:rPr>
        <w:t>：</w:t>
      </w:r>
    </w:p>
    <w:p w14:paraId="38858592">
      <w:pPr>
        <w:keepNext w:val="0"/>
        <w:keepLines w:val="0"/>
        <w:pageBreakBefore w:val="0"/>
        <w:widowControl w:val="0"/>
        <w:tabs>
          <w:tab w:val="left" w:pos="6059"/>
        </w:tabs>
        <w:kinsoku/>
        <w:wordWrap/>
        <w:overflowPunct/>
        <w:topLinePunct w:val="0"/>
        <w:autoSpaceDE/>
        <w:autoSpaceDN/>
        <w:bidi w:val="0"/>
        <w:adjustRightInd/>
        <w:snapToGrid w:val="0"/>
        <w:spacing w:line="480" w:lineRule="exact"/>
        <w:ind w:left="-180"/>
        <w:textAlignment w:val="auto"/>
        <w:rPr>
          <w:rFonts w:hint="eastAsia" w:ascii="仿宋_GB2312" w:hAnsi="宋体" w:eastAsia="仿宋_GB2312"/>
          <w:b/>
          <w:bCs/>
          <w:color w:val="000000"/>
          <w:sz w:val="28"/>
          <w:szCs w:val="28"/>
        </w:rPr>
      </w:pPr>
    </w:p>
    <w:p w14:paraId="6BDACB64">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olor w:val="000000"/>
          <w:sz w:val="24"/>
        </w:rPr>
      </w:pPr>
      <w:r>
        <w:rPr>
          <w:rFonts w:hint="eastAsia" w:ascii="仿宋_GB2312" w:hAnsi="宋体" w:eastAsia="仿宋_GB2312"/>
          <w:color w:val="000000"/>
          <w:sz w:val="28"/>
          <w:szCs w:val="28"/>
        </w:rPr>
        <w:t>合同签订日期：         年　    月     日</w:t>
      </w:r>
    </w:p>
    <w:p w14:paraId="393F230D">
      <w:pPr>
        <w:ind w:firstLine="420"/>
        <w:rPr>
          <w:rFonts w:hint="default"/>
          <w:sz w:val="24"/>
          <w:szCs w:val="24"/>
          <w:lang w:val="en-US" w:eastAsia="zh-CN"/>
        </w:rPr>
      </w:pPr>
    </w:p>
    <w:sectPr>
      <w:headerReference r:id="rId3" w:type="default"/>
      <w:footerReference r:id="rId4" w:type="default"/>
      <w:pgSz w:w="11906" w:h="16838"/>
      <w:pgMar w:top="1162" w:right="992" w:bottom="1162" w:left="103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1C2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22EB7F0">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722EB7F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8DC36">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6CA3BD"/>
    <w:multiLevelType w:val="singleLevel"/>
    <w:tmpl w:val="396CA3BD"/>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819BA"/>
    <w:rsid w:val="575362D2"/>
    <w:rsid w:val="66A6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2025-07-02T10:19:09Z</dcterms:created>
  <dc:creator>USER</dc:creator>
  <cp:lastModifiedBy>阳明拍卖</cp:lastModifiedBy>
  <dcterms:modified xsi:type="dcterms:W3CDTF">2025-07-02T10:21:18Z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eyJoZGlkIjoiOTE4MzliMTcwNWY4NjBlY2Q1YmRkYzJiMjI1YWFhNDAiLCJ1c2VySWQiOiI2NDI4NjU5NTMifQ==</vt:lpwstr>
  </property>
  <property fmtid="{D5CDD505-2E9C-101B-9397-08002B2CF9AE}" pid="4" name="ICV">
    <vt:lpwstr>7ACF82AC5AA24DBE86A6F8BBE9CDBF75_12</vt:lpwstr>
  </property>
</Properties>
</file>