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C486B">
      <w:pPr>
        <w:spacing w:line="440" w:lineRule="atLeast"/>
        <w:jc w:val="center"/>
        <w:rPr>
          <w:rFonts w:ascii="宋体" w:hAnsi="宋体"/>
          <w:b/>
          <w:bCs/>
          <w:color w:val="000000"/>
          <w:spacing w:val="60"/>
          <w:sz w:val="52"/>
          <w:szCs w:val="52"/>
        </w:rPr>
      </w:pPr>
      <w:r>
        <w:rPr>
          <w:rFonts w:hint="eastAsia" w:ascii="宋体" w:hAnsi="宋体"/>
          <w:b/>
          <w:bCs/>
          <w:color w:val="000000"/>
          <w:spacing w:val="60"/>
          <w:sz w:val="52"/>
          <w:szCs w:val="52"/>
        </w:rPr>
        <w:t>宁波阳明拍卖有限公司</w:t>
      </w:r>
    </w:p>
    <w:p w14:paraId="28B4011F">
      <w:pPr>
        <w:spacing w:line="440" w:lineRule="atLeast"/>
        <w:jc w:val="center"/>
        <w:rPr>
          <w:rFonts w:hint="eastAsia" w:ascii="宋体" w:hAnsi="宋体"/>
          <w:b/>
          <w:color w:val="000000"/>
          <w:sz w:val="52"/>
          <w:szCs w:val="52"/>
        </w:rPr>
      </w:pPr>
    </w:p>
    <w:p w14:paraId="5403B38F">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拍</w:t>
      </w:r>
    </w:p>
    <w:p w14:paraId="3F554578">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卖</w:t>
      </w:r>
    </w:p>
    <w:p w14:paraId="595F3C12">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须</w:t>
      </w:r>
    </w:p>
    <w:p w14:paraId="5F821666">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知</w:t>
      </w:r>
    </w:p>
    <w:p w14:paraId="29FA4F02">
      <w:pPr>
        <w:spacing w:line="440" w:lineRule="atLeast"/>
        <w:jc w:val="center"/>
        <w:rPr>
          <w:rFonts w:hint="eastAsia" w:ascii="宋体" w:hAnsi="宋体"/>
          <w:b/>
          <w:bCs/>
          <w:color w:val="000000"/>
          <w:sz w:val="52"/>
          <w:szCs w:val="52"/>
        </w:rPr>
      </w:pPr>
    </w:p>
    <w:p w14:paraId="5A7009A5">
      <w:pPr>
        <w:spacing w:line="600" w:lineRule="exact"/>
        <w:ind w:left="1927" w:leftChars="136" w:right="-107" w:rightChars="-51" w:hanging="1641" w:hangingChars="681"/>
        <w:rPr>
          <w:rFonts w:hint="eastAsia" w:ascii="Times New Roman" w:hAnsi="Times New Roman" w:eastAsia="宋体" w:cs="Times New Roman"/>
          <w:b w:val="0"/>
          <w:bCs w:val="0"/>
          <w:color w:val="000000"/>
          <w:sz w:val="24"/>
          <w:lang w:eastAsia="zh-CN"/>
        </w:rPr>
      </w:pPr>
      <w:r>
        <w:rPr>
          <w:rFonts w:hint="eastAsia"/>
          <w:b/>
          <w:bCs/>
          <w:color w:val="000000"/>
          <w:sz w:val="24"/>
        </w:rPr>
        <w:t>拍卖会</w:t>
      </w:r>
      <w:r>
        <w:rPr>
          <w:rFonts w:hint="eastAsia" w:ascii="Times New Roman" w:hAnsi="Times New Roman" w:eastAsia="宋体" w:cs="Times New Roman"/>
          <w:b/>
          <w:bCs/>
          <w:color w:val="000000"/>
          <w:sz w:val="24"/>
        </w:rPr>
        <w:t>名称：</w:t>
      </w:r>
      <w:r>
        <w:rPr>
          <w:rFonts w:hint="eastAsia" w:ascii="Times New Roman" w:hAnsi="Times New Roman" w:eastAsia="宋体" w:cs="Times New Roman"/>
          <w:b w:val="0"/>
          <w:bCs w:val="0"/>
          <w:color w:val="000000"/>
          <w:sz w:val="24"/>
          <w:lang w:eastAsia="zh-CN"/>
        </w:rPr>
        <w:t>余姚市黄山未来社区（黄山西路北侧、开丰路两侧）地块工程</w:t>
      </w:r>
    </w:p>
    <w:p w14:paraId="3E5D8A68">
      <w:pPr>
        <w:spacing w:line="600" w:lineRule="exact"/>
        <w:ind w:left="1906" w:leftChars="820" w:right="-107" w:rightChars="-51" w:hanging="184" w:hangingChars="77"/>
        <w:rPr>
          <w:rFonts w:hint="eastAsia" w:ascii="Times New Roman" w:hAnsi="Times New Roman" w:eastAsia="宋体" w:cs="Times New Roman"/>
          <w:b w:val="0"/>
          <w:bCs w:val="0"/>
          <w:color w:val="000000"/>
          <w:sz w:val="24"/>
        </w:rPr>
      </w:pPr>
      <w:r>
        <w:rPr>
          <w:rFonts w:hint="eastAsia" w:ascii="Times New Roman" w:hAnsi="Times New Roman" w:eastAsia="宋体" w:cs="Times New Roman"/>
          <w:b w:val="0"/>
          <w:bCs w:val="0"/>
          <w:color w:val="000000"/>
          <w:sz w:val="24"/>
          <w:lang w:eastAsia="zh-CN"/>
        </w:rPr>
        <w:t>多余土石料</w:t>
      </w:r>
      <w:r>
        <w:rPr>
          <w:rFonts w:hint="eastAsia" w:ascii="Times New Roman" w:hAnsi="Times New Roman" w:eastAsia="宋体" w:cs="Times New Roman"/>
          <w:b w:val="0"/>
          <w:bCs w:val="0"/>
          <w:color w:val="000000"/>
          <w:sz w:val="24"/>
        </w:rPr>
        <w:t>网络拍卖会</w:t>
      </w:r>
    </w:p>
    <w:p w14:paraId="22871306">
      <w:pPr>
        <w:spacing w:line="600" w:lineRule="exact"/>
        <w:ind w:left="1927" w:leftChars="136" w:right="-107" w:rightChars="-51" w:hanging="1641" w:hangingChars="681"/>
        <w:rPr>
          <w:rFonts w:hint="eastAsia" w:ascii="Times New Roman" w:hAnsi="Times New Roman" w:eastAsia="宋体" w:cs="Times New Roman"/>
          <w:b w:val="0"/>
          <w:bCs w:val="0"/>
          <w:color w:val="000000"/>
          <w:sz w:val="24"/>
          <w:lang w:eastAsia="zh-CN"/>
        </w:rPr>
      </w:pPr>
      <w:r>
        <w:rPr>
          <w:rFonts w:hint="eastAsia" w:ascii="宋体" w:hAnsi="宋体"/>
          <w:b/>
          <w:color w:val="000000"/>
          <w:sz w:val="24"/>
        </w:rPr>
        <w:t>拍卖标的：</w:t>
      </w:r>
      <w:r>
        <w:rPr>
          <w:rFonts w:hint="eastAsia" w:ascii="Times New Roman" w:hAnsi="Times New Roman" w:eastAsia="宋体" w:cs="Times New Roman"/>
          <w:b w:val="0"/>
          <w:bCs w:val="0"/>
          <w:color w:val="000000"/>
          <w:sz w:val="24"/>
          <w:lang w:eastAsia="zh-CN"/>
        </w:rPr>
        <w:t>余姚市黄山未来社区（黄山西路北侧、开丰路两侧）地块工程</w:t>
      </w:r>
    </w:p>
    <w:p w14:paraId="14749374">
      <w:pPr>
        <w:spacing w:line="600" w:lineRule="exact"/>
        <w:ind w:left="1910" w:leftChars="706" w:right="-107" w:rightChars="-51" w:hanging="427" w:hangingChars="178"/>
        <w:rPr>
          <w:rFonts w:hint="eastAsia" w:ascii="宋体" w:hAnsi="宋体" w:eastAsia="宋体" w:cs="宋体"/>
          <w:color w:val="000000"/>
          <w:kern w:val="0"/>
          <w:sz w:val="24"/>
          <w:lang w:eastAsia="zh-CN"/>
        </w:rPr>
      </w:pPr>
      <w:r>
        <w:rPr>
          <w:rFonts w:hint="eastAsia" w:ascii="Times New Roman" w:hAnsi="Times New Roman" w:eastAsia="宋体" w:cs="Times New Roman"/>
          <w:b w:val="0"/>
          <w:bCs w:val="0"/>
          <w:color w:val="000000"/>
          <w:sz w:val="24"/>
          <w:lang w:eastAsia="zh-CN"/>
        </w:rPr>
        <w:t>多余土石料</w:t>
      </w:r>
    </w:p>
    <w:p w14:paraId="342A467B">
      <w:pPr>
        <w:spacing w:after="93" w:afterLines="30" w:line="500" w:lineRule="exact"/>
        <w:ind w:firstLine="284" w:firstLineChars="118"/>
        <w:rPr>
          <w:rFonts w:hint="eastAsia" w:ascii="宋体" w:hAnsi="宋体" w:cs="宋体"/>
          <w:b/>
          <w:color w:val="000000"/>
          <w:kern w:val="0"/>
          <w:sz w:val="24"/>
        </w:rPr>
      </w:pPr>
      <w:r>
        <w:rPr>
          <w:rFonts w:hint="eastAsia" w:ascii="宋体" w:hAnsi="宋体" w:cs="宋体"/>
          <w:b/>
          <w:color w:val="000000"/>
          <w:kern w:val="0"/>
          <w:sz w:val="24"/>
        </w:rPr>
        <w:t>拍卖时间：</w:t>
      </w:r>
      <w:r>
        <w:rPr>
          <w:rFonts w:hint="eastAsia" w:ascii="宋体" w:hAnsi="宋体" w:cs="宋体"/>
          <w:color w:val="000000"/>
          <w:kern w:val="0"/>
          <w:sz w:val="24"/>
          <w:lang w:eastAsia="zh-CN"/>
        </w:rPr>
        <w:t>2025</w:t>
      </w:r>
      <w:r>
        <w:rPr>
          <w:rFonts w:hint="eastAsia" w:ascii="宋体" w:hAnsi="宋体" w:cs="宋体"/>
          <w:color w:val="000000"/>
          <w:kern w:val="0"/>
          <w:sz w:val="24"/>
        </w:rPr>
        <w:t>年</w:t>
      </w:r>
      <w:r>
        <w:rPr>
          <w:rFonts w:hint="eastAsia" w:ascii="宋体" w:hAnsi="宋体" w:cs="宋体"/>
          <w:color w:val="000000"/>
          <w:kern w:val="0"/>
          <w:sz w:val="24"/>
          <w:lang w:val="en-US" w:eastAsia="zh-CN"/>
        </w:rPr>
        <w:t>7月11日</w:t>
      </w:r>
      <w:r>
        <w:rPr>
          <w:rFonts w:hint="eastAsia" w:ascii="宋体" w:hAnsi="宋体" w:cs="宋体"/>
          <w:color w:val="000000"/>
          <w:kern w:val="0"/>
          <w:sz w:val="24"/>
        </w:rPr>
        <w:t>上午</w:t>
      </w:r>
      <w:r>
        <w:rPr>
          <w:rFonts w:ascii="宋体" w:hAnsi="宋体" w:cs="宋体"/>
          <w:color w:val="000000"/>
          <w:kern w:val="0"/>
          <w:sz w:val="24"/>
        </w:rPr>
        <w:t>9</w:t>
      </w: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w:t>
      </w:r>
      <w:r>
        <w:rPr>
          <w:rFonts w:hint="eastAsia" w:ascii="宋体" w:hAnsi="宋体" w:cs="宋体"/>
          <w:color w:val="000000"/>
          <w:kern w:val="0"/>
          <w:sz w:val="24"/>
          <w:lang w:val="en-US" w:eastAsia="zh-CN"/>
        </w:rPr>
        <w:t>10</w:t>
      </w:r>
      <w:r>
        <w:rPr>
          <w:rFonts w:hint="eastAsia" w:ascii="宋体" w:hAnsi="宋体" w:cs="宋体"/>
          <w:color w:val="000000"/>
          <w:kern w:val="0"/>
          <w:sz w:val="24"/>
        </w:rPr>
        <w:t>:</w:t>
      </w:r>
      <w:r>
        <w:rPr>
          <w:rFonts w:hint="eastAsia" w:ascii="宋体" w:hAnsi="宋体" w:cs="宋体"/>
          <w:color w:val="000000"/>
          <w:kern w:val="0"/>
          <w:sz w:val="24"/>
          <w:lang w:val="en-US" w:eastAsia="zh-CN"/>
        </w:rPr>
        <w:t>0</w:t>
      </w:r>
      <w:r>
        <w:rPr>
          <w:rFonts w:hint="eastAsia" w:ascii="宋体" w:hAnsi="宋体" w:cs="宋体"/>
          <w:color w:val="000000"/>
          <w:kern w:val="0"/>
          <w:sz w:val="24"/>
        </w:rPr>
        <w:t>0</w:t>
      </w:r>
      <w:r>
        <w:rPr>
          <w:rFonts w:ascii="宋体" w:hAnsi="宋体" w:cs="宋体"/>
          <w:color w:val="000000"/>
          <w:kern w:val="0"/>
          <w:sz w:val="24"/>
        </w:rPr>
        <w:t>（延时除外）</w:t>
      </w:r>
    </w:p>
    <w:p w14:paraId="78F6119B">
      <w:pPr>
        <w:spacing w:after="93" w:afterLines="30" w:line="500" w:lineRule="exact"/>
        <w:ind w:firstLine="284" w:firstLineChars="118"/>
        <w:rPr>
          <w:rFonts w:hint="eastAsia" w:ascii="宋体" w:hAnsi="宋体" w:eastAsia="宋体" w:cs="宋体"/>
          <w:color w:val="000000"/>
          <w:kern w:val="0"/>
          <w:sz w:val="24"/>
          <w:lang w:eastAsia="zh-CN"/>
        </w:rPr>
      </w:pPr>
      <w:r>
        <w:rPr>
          <w:rFonts w:hint="eastAsia" w:ascii="宋体" w:hAnsi="宋体" w:cs="宋体"/>
          <w:b/>
          <w:color w:val="000000"/>
          <w:kern w:val="0"/>
          <w:sz w:val="24"/>
        </w:rPr>
        <w:t>拍卖方式：</w:t>
      </w:r>
      <w:r>
        <w:rPr>
          <w:rFonts w:hint="eastAsia" w:ascii="宋体" w:hAnsi="宋体" w:cs="宋体"/>
          <w:b w:val="0"/>
          <w:bCs/>
          <w:color w:val="000000"/>
          <w:kern w:val="0"/>
          <w:sz w:val="24"/>
          <w:u w:val="none"/>
          <w:lang w:eastAsia="zh-CN"/>
        </w:rPr>
        <w:t>网络拍卖</w:t>
      </w:r>
    </w:p>
    <w:p w14:paraId="17E22D26">
      <w:pPr>
        <w:spacing w:after="93" w:afterLines="30" w:line="500" w:lineRule="exact"/>
        <w:rPr>
          <w:rFonts w:hint="eastAsia" w:ascii="宋体" w:hAnsi="宋体" w:cs="宋体"/>
          <w:b/>
          <w:color w:val="000000"/>
          <w:kern w:val="0"/>
          <w:sz w:val="24"/>
        </w:rPr>
      </w:pPr>
    </w:p>
    <w:p w14:paraId="33B1CFD7">
      <w:pPr>
        <w:spacing w:after="93" w:afterLines="30" w:line="500" w:lineRule="exact"/>
        <w:ind w:firstLine="283" w:firstLineChars="118"/>
        <w:rPr>
          <w:rFonts w:hint="eastAsia" w:ascii="宋体" w:hAnsi="宋体"/>
          <w:color w:val="000000"/>
          <w:sz w:val="24"/>
        </w:rPr>
      </w:pPr>
    </w:p>
    <w:p w14:paraId="33CDF236">
      <w:pPr>
        <w:spacing w:after="93" w:afterLines="30" w:line="500" w:lineRule="exact"/>
        <w:ind w:firstLine="283" w:firstLineChars="118"/>
        <w:rPr>
          <w:rFonts w:hint="eastAsia" w:ascii="宋体" w:hAnsi="宋体" w:eastAsia="宋体"/>
          <w:color w:val="000000"/>
          <w:sz w:val="24"/>
          <w:lang w:eastAsia="zh-CN"/>
        </w:rPr>
      </w:pPr>
      <w:r>
        <w:rPr>
          <w:rFonts w:hint="eastAsia" w:ascii="宋体" w:hAnsi="宋体"/>
          <w:color w:val="000000"/>
          <w:sz w:val="24"/>
        </w:rPr>
        <w:t>公司地址：浙江省</w:t>
      </w:r>
      <w:r>
        <w:rPr>
          <w:rFonts w:hint="eastAsia" w:ascii="宋体" w:hAnsi="宋体"/>
          <w:color w:val="000000"/>
          <w:sz w:val="24"/>
          <w:lang w:eastAsia="zh-CN"/>
        </w:rPr>
        <w:t>余姚市谭家岭东路2号南雷大厦29楼</w:t>
      </w:r>
      <w:r>
        <w:rPr>
          <w:rFonts w:hint="eastAsia" w:ascii="宋体" w:hAnsi="宋体" w:eastAsia="宋体" w:cs="Times New Roman"/>
          <w:color w:val="000000"/>
          <w:sz w:val="24"/>
          <w:lang w:eastAsia="zh-CN"/>
        </w:rPr>
        <w:t> </w:t>
      </w:r>
    </w:p>
    <w:p w14:paraId="5F907B33">
      <w:pPr>
        <w:spacing w:after="93" w:afterLines="30" w:line="500" w:lineRule="exact"/>
        <w:ind w:firstLine="283" w:firstLineChars="118"/>
        <w:rPr>
          <w:rFonts w:hint="eastAsia" w:ascii="宋体" w:hAnsi="宋体"/>
          <w:color w:val="000000"/>
          <w:sz w:val="24"/>
        </w:rPr>
      </w:pPr>
      <w:r>
        <w:rPr>
          <w:rFonts w:hint="eastAsia" w:ascii="宋体" w:hAnsi="宋体"/>
          <w:color w:val="000000"/>
          <w:sz w:val="24"/>
        </w:rPr>
        <w:t>公司电话：0574-62651915</w:t>
      </w:r>
      <w:r>
        <w:rPr>
          <w:rFonts w:hint="eastAsia" w:ascii="宋体" w:hAnsi="宋体"/>
          <w:color w:val="000000"/>
          <w:sz w:val="24"/>
          <w:lang w:eastAsia="zh-CN"/>
        </w:rPr>
        <w:t>、</w:t>
      </w:r>
      <w:r>
        <w:rPr>
          <w:rFonts w:hint="eastAsia" w:ascii="宋体" w:hAnsi="宋体"/>
          <w:color w:val="000000"/>
          <w:sz w:val="24"/>
        </w:rPr>
        <w:t>62724638       传真：0574-62651961</w:t>
      </w:r>
    </w:p>
    <w:p w14:paraId="4289EF46">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b/>
          <w:color w:val="000000"/>
          <w:sz w:val="44"/>
          <w:szCs w:val="44"/>
        </w:rPr>
      </w:pPr>
    </w:p>
    <w:p w14:paraId="02C8448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b/>
          <w:color w:val="000000"/>
          <w:sz w:val="44"/>
          <w:szCs w:val="44"/>
        </w:rPr>
      </w:pPr>
      <w:r>
        <w:rPr>
          <w:rFonts w:hint="eastAsia" w:ascii="宋体" w:hAnsi="宋体"/>
          <w:b/>
          <w:color w:val="000000"/>
          <w:sz w:val="44"/>
          <w:szCs w:val="44"/>
        </w:rPr>
        <w:t>拍  卖  须  知</w:t>
      </w:r>
    </w:p>
    <w:p w14:paraId="2251F7D3">
      <w:pPr>
        <w:keepNext w:val="0"/>
        <w:keepLines w:val="0"/>
        <w:pageBreakBefore w:val="0"/>
        <w:widowControl w:val="0"/>
        <w:kinsoku/>
        <w:wordWrap/>
        <w:overflowPunct/>
        <w:topLinePunct w:val="0"/>
        <w:autoSpaceDE/>
        <w:autoSpaceDN/>
        <w:bidi w:val="0"/>
        <w:adjustRightInd/>
        <w:snapToGrid/>
        <w:spacing w:before="312" w:beforeLines="100" w:after="156" w:afterLines="50" w:line="460" w:lineRule="exact"/>
        <w:jc w:val="center"/>
        <w:textAlignment w:val="auto"/>
        <w:rPr>
          <w:rFonts w:hint="eastAsia" w:ascii="宋体" w:hAnsi="宋体"/>
          <w:b/>
          <w:color w:val="000000"/>
          <w:sz w:val="28"/>
          <w:szCs w:val="28"/>
        </w:rPr>
      </w:pPr>
      <w:r>
        <w:rPr>
          <w:rFonts w:hint="eastAsia" w:ascii="宋体" w:hAnsi="宋体"/>
          <w:b/>
          <w:color w:val="000000"/>
          <w:sz w:val="28"/>
          <w:szCs w:val="28"/>
        </w:rPr>
        <w:t>总 则</w:t>
      </w:r>
    </w:p>
    <w:p w14:paraId="5F115F34">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hint="eastAsia" w:ascii="宋体" w:hAnsi="宋体"/>
          <w:color w:val="000000"/>
          <w:sz w:val="24"/>
        </w:rPr>
      </w:pPr>
      <w:r>
        <w:rPr>
          <w:rFonts w:hint="eastAsia" w:ascii="宋体" w:hAnsi="宋体"/>
          <w:b/>
          <w:color w:val="000000"/>
          <w:sz w:val="24"/>
        </w:rPr>
        <w:t>第一条</w:t>
      </w:r>
      <w:r>
        <w:rPr>
          <w:rFonts w:hint="eastAsia" w:ascii="宋体" w:hAnsi="宋体"/>
          <w:color w:val="000000"/>
          <w:sz w:val="24"/>
        </w:rPr>
        <w:t xml:space="preserve">  本《拍卖须知》根据《中华人民共和国拍卖法》及相关法律法规、规章，参照国际通行惯例制定。</w:t>
      </w:r>
    </w:p>
    <w:p w14:paraId="7EBEB96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olor w:val="000000"/>
          <w:sz w:val="24"/>
        </w:rPr>
      </w:pPr>
      <w:r>
        <w:rPr>
          <w:rFonts w:hint="eastAsia" w:ascii="宋体" w:hAnsi="宋体"/>
          <w:b/>
          <w:color w:val="000000"/>
          <w:sz w:val="24"/>
        </w:rPr>
        <w:t>第二条</w:t>
      </w:r>
      <w:r>
        <w:rPr>
          <w:rFonts w:hint="eastAsia" w:ascii="宋体" w:hAnsi="宋体"/>
          <w:color w:val="000000"/>
          <w:sz w:val="24"/>
        </w:rPr>
        <w:t xml:space="preserve">  </w:t>
      </w:r>
      <w:r>
        <w:rPr>
          <w:rFonts w:hint="eastAsia" w:ascii="宋体" w:hAnsi="宋体"/>
          <w:color w:val="000000"/>
          <w:sz w:val="24"/>
          <w:lang w:eastAsia="zh-CN"/>
        </w:rPr>
        <w:t>宁波阳明拍卖有限公司（以下简称“</w:t>
      </w:r>
      <w:r>
        <w:rPr>
          <w:rFonts w:hint="eastAsia" w:ascii="宋体" w:hAnsi="宋体"/>
          <w:color w:val="000000"/>
          <w:sz w:val="24"/>
        </w:rPr>
        <w:t>拍卖人</w:t>
      </w:r>
      <w:r>
        <w:rPr>
          <w:rFonts w:hint="eastAsia" w:ascii="宋体" w:hAnsi="宋体"/>
          <w:color w:val="000000"/>
          <w:sz w:val="24"/>
          <w:lang w:eastAsia="zh-CN"/>
        </w:rPr>
        <w:t>”）</w:t>
      </w:r>
      <w:r>
        <w:rPr>
          <w:rFonts w:hint="eastAsia" w:ascii="宋体" w:hAnsi="宋体"/>
          <w:color w:val="000000"/>
          <w:sz w:val="24"/>
        </w:rPr>
        <w:t>将依法组织和开展拍卖活动，参加拍卖活动的竞买人必须仔细阅读并遵守本《拍卖须知》及其它相关文件，并对自己执行本《拍卖须知》的行为负责。</w:t>
      </w:r>
    </w:p>
    <w:p w14:paraId="54FCC78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olor w:val="000000"/>
          <w:sz w:val="24"/>
        </w:rPr>
      </w:pPr>
      <w:r>
        <w:rPr>
          <w:rFonts w:hint="eastAsia" w:ascii="宋体" w:hAnsi="宋体"/>
          <w:b/>
          <w:color w:val="000000"/>
          <w:sz w:val="24"/>
        </w:rPr>
        <w:t xml:space="preserve">第三条  </w:t>
      </w:r>
      <w:r>
        <w:rPr>
          <w:rFonts w:hint="eastAsia" w:ascii="宋体" w:hAnsi="宋体"/>
          <w:color w:val="000000"/>
          <w:sz w:val="24"/>
        </w:rPr>
        <w:t>拍卖人有权在本《拍卖须知》的基础上，根据公开、公平、公正、诚实信用的原则解释和处理本《拍卖须知》以外的特殊问题和未尽事宜。</w:t>
      </w:r>
    </w:p>
    <w:p w14:paraId="41F5C772">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hint="eastAsia" w:ascii="宋体" w:hAnsi="宋体"/>
          <w:b/>
          <w:color w:val="000000"/>
          <w:sz w:val="28"/>
          <w:szCs w:val="28"/>
        </w:rPr>
      </w:pPr>
      <w:r>
        <w:rPr>
          <w:rFonts w:hint="eastAsia" w:ascii="宋体" w:hAnsi="宋体"/>
          <w:b/>
          <w:color w:val="000000"/>
          <w:sz w:val="28"/>
          <w:szCs w:val="28"/>
        </w:rPr>
        <w:t>拍卖标的</w:t>
      </w:r>
    </w:p>
    <w:p w14:paraId="70F89C33">
      <w:pPr>
        <w:keepNext w:val="0"/>
        <w:keepLines w:val="0"/>
        <w:pageBreakBefore w:val="0"/>
        <w:widowControl w:val="0"/>
        <w:numPr>
          <w:ilvl w:val="0"/>
          <w:numId w:val="1"/>
        </w:numPr>
        <w:tabs>
          <w:tab w:val="left" w:pos="540"/>
        </w:tabs>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b/>
          <w:bCs/>
          <w:color w:val="000000"/>
          <w:sz w:val="24"/>
        </w:rPr>
        <w:t>拍卖标的</w:t>
      </w:r>
      <w:r>
        <w:rPr>
          <w:rFonts w:hint="eastAsia" w:ascii="宋体" w:hAnsi="宋体" w:eastAsia="宋体" w:cs="Times New Roman"/>
          <w:b/>
          <w:bCs/>
          <w:color w:val="000000"/>
          <w:sz w:val="24"/>
          <w:lang w:val="en-US" w:eastAsia="zh-CN"/>
        </w:rPr>
        <w:t>:</w:t>
      </w:r>
      <w:r>
        <w:rPr>
          <w:rFonts w:hint="eastAsia" w:ascii="宋体" w:hAnsi="宋体" w:eastAsia="宋体" w:cs="Times New Roman"/>
          <w:color w:val="000000"/>
          <w:sz w:val="24"/>
          <w:lang w:val="en-US" w:eastAsia="zh-CN"/>
        </w:rPr>
        <w:t>余姚市黄山未来社区（黄山西路北侧、开丰路两侧）地块工程多余土石料（以下简称“标的物”），</w:t>
      </w:r>
      <w:r>
        <w:rPr>
          <w:rFonts w:hint="eastAsia" w:ascii="宋体" w:hAnsi="宋体" w:cs="宋体"/>
          <w:color w:val="000000"/>
          <w:sz w:val="24"/>
          <w:szCs w:val="24"/>
          <w:lang w:eastAsia="zh-CN"/>
        </w:rPr>
        <w:t>土石料估算总量：154496立方米（约301880吨），</w:t>
      </w:r>
      <w:r>
        <w:rPr>
          <w:rFonts w:hint="eastAsia" w:ascii="宋体" w:hAnsi="宋体" w:eastAsia="宋体" w:cs="Times New Roman"/>
          <w:color w:val="000000"/>
          <w:sz w:val="24"/>
          <w:lang w:val="en-US" w:eastAsia="zh-CN"/>
        </w:rPr>
        <w:t>其中残坡积土55826立方米（约105511吨），全风化角砾岩97067立方米（约193163吨），强风化角砾岩1603立方米（约3206吨）。起拍价：人民币621900元；竞买保证金：人民币120000元。</w:t>
      </w:r>
      <w:r>
        <w:rPr>
          <w:rFonts w:hint="eastAsia" w:ascii="宋体" w:hAnsi="宋体" w:eastAsia="宋体" w:cs="宋体"/>
          <w:b w:val="0"/>
          <w:bCs/>
          <w:color w:val="000000"/>
          <w:kern w:val="0"/>
          <w:sz w:val="24"/>
          <w:szCs w:val="24"/>
          <w:highlight w:val="none"/>
          <w:lang w:eastAsia="zh-CN"/>
        </w:rPr>
        <w:t>交付期限：拍卖成交后180日历天，具体以工程实际开挖进度为准。</w:t>
      </w:r>
      <w:r>
        <w:rPr>
          <w:rFonts w:hint="eastAsia" w:ascii="宋体" w:hAnsi="宋体" w:eastAsia="宋体" w:cs="宋体"/>
          <w:b/>
          <w:bCs w:val="0"/>
          <w:color w:val="000000"/>
          <w:kern w:val="0"/>
          <w:sz w:val="24"/>
          <w:szCs w:val="24"/>
          <w:highlight w:val="none"/>
          <w:lang w:val="en-US" w:eastAsia="zh-CN"/>
        </w:rPr>
        <w:t>项目具体情况详见附件。</w:t>
      </w:r>
    </w:p>
    <w:p w14:paraId="03DF2696">
      <w:pPr>
        <w:keepNext w:val="0"/>
        <w:keepLines w:val="0"/>
        <w:pageBreakBefore w:val="0"/>
        <w:widowControl w:val="0"/>
        <w:kinsoku/>
        <w:wordWrap/>
        <w:overflowPunct/>
        <w:topLinePunct w:val="0"/>
        <w:autoSpaceDE/>
        <w:autoSpaceDN/>
        <w:bidi w:val="0"/>
        <w:adjustRightInd/>
        <w:snapToGrid/>
        <w:spacing w:before="91" w:line="500" w:lineRule="exact"/>
        <w:ind w:firstLine="482" w:firstLineChars="200"/>
        <w:textAlignment w:val="auto"/>
        <w:rPr>
          <w:rFonts w:hint="default" w:ascii="宋体" w:hAnsi="宋体" w:cs="宋体"/>
          <w:b w:val="0"/>
          <w:bCs w:val="0"/>
          <w:color w:val="000000"/>
          <w:kern w:val="0"/>
          <w:sz w:val="24"/>
          <w:szCs w:val="24"/>
          <w:lang w:val="en-US" w:eastAsia="zh-CN"/>
        </w:rPr>
      </w:pPr>
      <w:r>
        <w:rPr>
          <w:rFonts w:hint="eastAsia" w:ascii="宋体" w:hAnsi="宋体" w:cs="宋体"/>
          <w:b/>
          <w:bCs/>
          <w:color w:val="000000"/>
          <w:kern w:val="0"/>
          <w:sz w:val="24"/>
          <w:szCs w:val="24"/>
          <w:lang w:eastAsia="zh-CN"/>
        </w:rPr>
        <w:t>注：（一）估算说明：</w:t>
      </w:r>
      <w:r>
        <w:rPr>
          <w:rFonts w:hint="eastAsia" w:ascii="宋体" w:hAnsi="宋体" w:cs="宋体"/>
          <w:b w:val="0"/>
          <w:bCs w:val="0"/>
          <w:color w:val="000000"/>
          <w:kern w:val="0"/>
          <w:sz w:val="24"/>
          <w:szCs w:val="24"/>
          <w:lang w:eastAsia="zh-CN"/>
        </w:rPr>
        <w:t>拍卖前，委托人委托宁波冶金勘察设计研究股份有限公司进行了勘查，出具了《余姚市黄山未来社区（黄山西路北侧、开丰路两侧）地块开挖土石方量估算报告》，委托浙江之源资产评估有限公司进行了评估，出具了《余姚市黄山未来社区（黄山西路北侧、开丰路两侧地块）土石方处置价值评估咨询报告书》（浙之咨字</w:t>
      </w:r>
      <w:r>
        <w:rPr>
          <w:rFonts w:hint="eastAsia" w:ascii="宋体" w:hAnsi="宋体" w:cs="宋体"/>
          <w:b w:val="0"/>
          <w:bCs w:val="0"/>
          <w:color w:val="000000"/>
          <w:kern w:val="0"/>
          <w:sz w:val="24"/>
          <w:szCs w:val="24"/>
          <w:lang w:val="en-US" w:eastAsia="zh-CN"/>
        </w:rPr>
        <w:t>[2025]28号）</w:t>
      </w:r>
      <w:r>
        <w:rPr>
          <w:rFonts w:hint="eastAsia" w:ascii="宋体" w:hAnsi="宋体" w:cs="宋体"/>
          <w:b w:val="0"/>
          <w:bCs w:val="0"/>
          <w:color w:val="000000"/>
          <w:kern w:val="0"/>
          <w:sz w:val="24"/>
          <w:szCs w:val="24"/>
          <w:lang w:eastAsia="zh-CN"/>
        </w:rPr>
        <w:t>。价值评估咨询报告书是委托人确定拍卖起拍价的参考依据，并不作为最终确定拍卖成交价的构成依据。由于估算报告、价值评估咨询报告书系相关机构在特定假设、限制条件下作出的，其结论的内容引用了现场状态，与资产现值及实际状况存在一定差异，使用时存在局限性。故本次可供查阅的估算报告、价值评估咨询报告书中的信息仅供竞买人参考使用，不作为本次拍卖文件必要的组成附件，不得以此作为成交后的交付依据，具体资产状况须结合实际以移交时标的物的实物现状为准。拍卖成交后，买受人不得因估算报告、价值评估咨询报告书中的描述与拍卖标的按实际现状移交时存在各种品质问题等及资产价值差异向委托人及拍卖人提出异议或赔偿请求。各竞买人务必在拍卖前联系拍卖人熟悉项目用地红线图、《余姚市黄山未来社区（黄山西路北侧、开丰路两侧）地块开挖土石方量估算报告》《余姚市黄山未来社区（黄山西路北侧、开丰路两侧地块）土石方处置价值评估咨询报告书》（浙之咨字[2025]28号）等书面材料，慎重作出决策。</w:t>
      </w:r>
    </w:p>
    <w:p w14:paraId="615F05DD">
      <w:pPr>
        <w:keepNext w:val="0"/>
        <w:keepLines w:val="0"/>
        <w:pageBreakBefore w:val="0"/>
        <w:widowControl w:val="0"/>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cs="宋体"/>
          <w:color w:val="000000"/>
          <w:kern w:val="0"/>
          <w:sz w:val="24"/>
          <w:szCs w:val="24"/>
          <w:lang w:eastAsia="zh-CN"/>
        </w:rPr>
        <w:t>（二</w:t>
      </w:r>
      <w:r>
        <w:rPr>
          <w:rFonts w:hint="eastAsia" w:ascii="宋体" w:hAnsi="宋体" w:eastAsia="宋体" w:cs="楷体_GB2312"/>
          <w:color w:val="000000"/>
          <w:sz w:val="24"/>
          <w:szCs w:val="24"/>
          <w:lang w:val="en-US" w:eastAsia="zh-CN"/>
        </w:rPr>
        <w:t>）拍卖时的起拍价和成交价均为裸价，不包含任何税、费及买受佣金。在提取过程中所产生的装卸费、场地堆放费、搬运费、运输费、生产管理成本、机械设备费、保险费等一切费用全部由买受人承担。此外，起拍价及成交价也不包含买受人后续运输、加工、经营、销售土石料等过程所产生的各项税费（按现行相关规定缴纳）。</w:t>
      </w:r>
    </w:p>
    <w:p w14:paraId="4A3AE8A6">
      <w:pPr>
        <w:keepNext w:val="0"/>
        <w:keepLines w:val="0"/>
        <w:pageBreakBefore w:val="0"/>
        <w:widowControl w:val="0"/>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竞买人在拍卖前须自行向属地税务主管部门咨询各项税费的缴纳标准，并充分考量由此产生的额外成本。竞买人不得因税费问题向委托人或拍卖人提出异议。</w:t>
      </w:r>
    </w:p>
    <w:p w14:paraId="1AC22AEE">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color w:val="000000"/>
          <w:sz w:val="24"/>
          <w:szCs w:val="24"/>
        </w:rPr>
      </w:pPr>
      <w:r>
        <w:rPr>
          <w:rFonts w:hint="eastAsia" w:ascii="宋体" w:hAnsi="宋体" w:eastAsia="宋体" w:cs="宋体"/>
          <w:color w:val="000000"/>
          <w:kern w:val="0"/>
          <w:sz w:val="24"/>
          <w:szCs w:val="24"/>
          <w:lang w:eastAsia="zh-CN"/>
        </w:rPr>
        <w:t>（三）</w:t>
      </w:r>
      <w:r>
        <w:rPr>
          <w:rFonts w:hint="eastAsia"/>
          <w:color w:val="000000"/>
          <w:sz w:val="24"/>
          <w:szCs w:val="24"/>
        </w:rPr>
        <w:t>标的物的数量、重量、品质均为设计估算</w:t>
      </w:r>
      <w:r>
        <w:rPr>
          <w:rFonts w:hint="eastAsia"/>
          <w:color w:val="000000"/>
          <w:sz w:val="24"/>
          <w:szCs w:val="24"/>
          <w:lang w:eastAsia="zh-CN"/>
        </w:rPr>
        <w:t>，</w:t>
      </w:r>
      <w:r>
        <w:rPr>
          <w:rFonts w:hint="eastAsia" w:ascii="宋体" w:hAnsi="宋体" w:eastAsia="宋体" w:cs="楷体_GB2312"/>
          <w:color w:val="000000"/>
          <w:sz w:val="24"/>
          <w:szCs w:val="24"/>
          <w:lang w:val="en-US" w:eastAsia="zh-CN"/>
        </w:rPr>
        <w:t>根据《余姚市黄山未来社区（黄山西路北侧、开丰路两侧）地块开挖土石方量估算报告》编制，具有不确定性，竞买人在拍卖前须认真仔细了解标的物的实际情况，清楚可能存在的各项风险。标的物的</w:t>
      </w:r>
      <w:r>
        <w:rPr>
          <w:rFonts w:hint="eastAsia"/>
          <w:color w:val="000000"/>
          <w:sz w:val="24"/>
          <w:szCs w:val="24"/>
        </w:rPr>
        <w:t>数量、重量、品质按实际交付为准（交付时不再过磅），如实际交付有差距，则不进行拍卖成交款及买受佣金的退补，相应风险由买受人自行承担。</w:t>
      </w:r>
    </w:p>
    <w:p w14:paraId="759DC26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sz w:val="24"/>
          <w:szCs w:val="24"/>
        </w:rPr>
      </w:pPr>
      <w:r>
        <w:rPr>
          <w:rFonts w:hint="eastAsia" w:ascii="宋体" w:hAnsi="宋体" w:cs="宋体"/>
          <w:b w:val="0"/>
          <w:bCs w:val="0"/>
          <w:color w:val="000000"/>
          <w:kern w:val="0"/>
          <w:sz w:val="24"/>
          <w:szCs w:val="24"/>
          <w:lang w:eastAsia="zh-CN"/>
        </w:rPr>
        <w:t>（四）</w:t>
      </w:r>
      <w:r>
        <w:rPr>
          <w:rFonts w:hint="eastAsia" w:ascii="宋体" w:hAnsi="宋体" w:eastAsia="宋体" w:cs="楷体_GB2312"/>
          <w:color w:val="000000"/>
          <w:sz w:val="24"/>
          <w:szCs w:val="24"/>
          <w:lang w:eastAsia="zh-CN"/>
        </w:rPr>
        <w:t>拍卖人</w:t>
      </w:r>
      <w:r>
        <w:rPr>
          <w:rFonts w:hint="eastAsia" w:ascii="宋体" w:hAnsi="宋体" w:eastAsia="宋体" w:cs="楷体_GB2312"/>
          <w:color w:val="000000"/>
          <w:sz w:val="24"/>
          <w:szCs w:val="24"/>
        </w:rPr>
        <w:t>提供的清单和图片仅供竞买人参考，数量、品种、规格、品质、真伪与实物不符的以现场实物为准，不保证</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的使用性和完整性，不提供任何售后服务。</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按现状拍卖和交付，竞买人在拍卖前需自行现场踏勘、测算和核实拍卖标的，自行评估并承担相应的风险，</w:t>
      </w:r>
      <w:r>
        <w:rPr>
          <w:rFonts w:hint="eastAsia" w:ascii="宋体" w:hAnsi="宋体" w:eastAsia="宋体" w:cs="楷体_GB2312"/>
          <w:color w:val="000000"/>
          <w:sz w:val="24"/>
          <w:szCs w:val="24"/>
          <w:lang w:eastAsia="zh-CN"/>
        </w:rPr>
        <w:t>拍卖人</w:t>
      </w:r>
      <w:r>
        <w:rPr>
          <w:rFonts w:hint="eastAsia" w:ascii="宋体" w:hAnsi="宋体" w:eastAsia="宋体" w:cs="楷体_GB2312"/>
          <w:color w:val="000000"/>
          <w:sz w:val="24"/>
          <w:szCs w:val="24"/>
        </w:rPr>
        <w:t>、委托人均不承担拍卖</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的瑕疵担保责任，请竞买人慎重决定竞买行为。因标的物现状引发的纠纷均由买受人自行承担，委托人有权从竞买保证金中直接扣除维权费用。一旦报名参与竞买，即视为对</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一切现状及价格的认可，愿意承担法律责任，并且不得以任何理由提出退还</w:t>
      </w:r>
      <w:r>
        <w:rPr>
          <w:rFonts w:hint="eastAsia" w:ascii="宋体" w:hAnsi="宋体" w:eastAsia="宋体" w:cs="楷体_GB2312"/>
          <w:color w:val="000000"/>
          <w:sz w:val="24"/>
          <w:szCs w:val="24"/>
          <w:lang w:eastAsia="zh-CN"/>
        </w:rPr>
        <w:t>标的物</w:t>
      </w:r>
      <w:r>
        <w:rPr>
          <w:rFonts w:hint="eastAsia" w:ascii="宋体" w:hAnsi="宋体" w:eastAsia="宋体" w:cs="楷体_GB2312"/>
          <w:color w:val="000000"/>
          <w:sz w:val="24"/>
          <w:szCs w:val="24"/>
        </w:rPr>
        <w:t>或拒付拍卖成交款及其他费用。</w:t>
      </w:r>
    </w:p>
    <w:p w14:paraId="0EA12D3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kern w:val="2"/>
          <w:sz w:val="24"/>
          <w:szCs w:val="24"/>
          <w:lang w:val="en-US" w:eastAsia="zh-CN" w:bidi="ar-SA"/>
        </w:rPr>
      </w:pPr>
      <w:r>
        <w:rPr>
          <w:rFonts w:hint="eastAsia" w:ascii="宋体" w:hAnsi="宋体" w:eastAsia="宋体" w:cs="楷体_GB2312"/>
          <w:color w:val="000000"/>
          <w:kern w:val="2"/>
          <w:sz w:val="24"/>
          <w:szCs w:val="24"/>
          <w:lang w:val="en-US" w:eastAsia="zh-CN" w:bidi="ar-SA"/>
        </w:rPr>
        <w:t>（五）土石料竞买和销售投资属于风险投资，标的物根据工程实际进度进行提取，提取周期较长，土石料市场价格可能会受市场环境和政策等因素的影响而上下波动，存在不可预见的自然因素变化和政策法规调整的风险，竞买人应提前考察与现场踏勘，并详细了解当地市场行情后，慎重作出决策。竞买人必须充分考虑上述因素可能造成的投资风险，并自愿承担由此造成的投资风险。</w:t>
      </w:r>
    </w:p>
    <w:p w14:paraId="3BC265F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color w:val="000000"/>
          <w:sz w:val="24"/>
        </w:rPr>
      </w:pPr>
      <w:r>
        <w:rPr>
          <w:rFonts w:hint="eastAsia" w:ascii="宋体" w:hAnsi="宋体"/>
          <w:b/>
          <w:color w:val="000000"/>
          <w:sz w:val="24"/>
          <w:lang w:eastAsia="zh-CN"/>
        </w:rPr>
        <w:t>第五条</w:t>
      </w: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标的物特别说明</w:t>
      </w:r>
    </w:p>
    <w:p w14:paraId="64A3A96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color w:val="000000"/>
          <w:sz w:val="24"/>
          <w:highlight w:val="none"/>
        </w:rPr>
      </w:pPr>
      <w:r>
        <w:rPr>
          <w:rFonts w:hint="eastAsia" w:ascii="宋体" w:hAnsi="宋体"/>
          <w:b/>
          <w:color w:val="000000"/>
          <w:sz w:val="24"/>
          <w:highlight w:val="none"/>
        </w:rPr>
        <w:t>竞买人须自愿接受下列条款以及《</w:t>
      </w:r>
      <w:r>
        <w:rPr>
          <w:rFonts w:hint="eastAsia" w:ascii="宋体" w:hAnsi="宋体"/>
          <w:b/>
          <w:color w:val="000000"/>
          <w:sz w:val="24"/>
          <w:highlight w:val="none"/>
          <w:lang w:eastAsia="zh-CN"/>
        </w:rPr>
        <w:t>土石料买卖合同</w:t>
      </w:r>
      <w:r>
        <w:rPr>
          <w:rFonts w:hint="eastAsia" w:ascii="宋体" w:hAnsi="宋体"/>
          <w:b/>
          <w:color w:val="000000"/>
          <w:sz w:val="24"/>
          <w:highlight w:val="none"/>
        </w:rPr>
        <w:t>（样本）》条款方可参加拍卖：</w:t>
      </w:r>
    </w:p>
    <w:p w14:paraId="5C5E55CC">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sz w:val="24"/>
          <w:szCs w:val="24"/>
        </w:rPr>
      </w:pPr>
      <w:r>
        <w:rPr>
          <w:rFonts w:hint="eastAsia" w:ascii="宋体" w:hAnsi="宋体" w:eastAsia="宋体" w:cs="楷体_GB2312"/>
          <w:color w:val="000000"/>
          <w:sz w:val="24"/>
          <w:szCs w:val="24"/>
        </w:rPr>
        <w:t>签订《</w:t>
      </w:r>
      <w:r>
        <w:rPr>
          <w:rFonts w:hint="eastAsia" w:ascii="宋体" w:hAnsi="宋体" w:eastAsia="宋体" w:cs="楷体_GB2312"/>
          <w:color w:val="000000"/>
          <w:sz w:val="24"/>
          <w:szCs w:val="24"/>
          <w:lang w:eastAsia="zh-CN"/>
        </w:rPr>
        <w:t>土石料买卖合同</w:t>
      </w:r>
      <w:r>
        <w:rPr>
          <w:rFonts w:hint="eastAsia" w:ascii="宋体" w:hAnsi="宋体" w:eastAsia="宋体" w:cs="楷体_GB2312"/>
          <w:color w:val="000000"/>
          <w:sz w:val="24"/>
          <w:szCs w:val="24"/>
        </w:rPr>
        <w:t>》</w:t>
      </w:r>
      <w:r>
        <w:rPr>
          <w:rFonts w:hint="eastAsia" w:ascii="宋体" w:hAnsi="宋体" w:eastAsia="宋体" w:cs="楷体_GB2312"/>
          <w:color w:val="000000"/>
          <w:sz w:val="24"/>
          <w:szCs w:val="24"/>
          <w:lang w:eastAsia="zh-CN"/>
        </w:rPr>
        <w:t>前，</w:t>
      </w:r>
      <w:r>
        <w:rPr>
          <w:rFonts w:hint="eastAsia" w:ascii="宋体" w:hAnsi="宋体" w:eastAsia="宋体" w:cs="楷体_GB2312"/>
          <w:color w:val="000000"/>
          <w:sz w:val="24"/>
          <w:szCs w:val="24"/>
        </w:rPr>
        <w:t>由买受人向</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支付履约保证金【按拍卖成交价的30%收取（四舍五入，整取到千位</w:t>
      </w:r>
      <w:r>
        <w:rPr>
          <w:rFonts w:hint="eastAsia" w:ascii="宋体" w:hAnsi="宋体" w:eastAsia="宋体" w:cs="楷体_GB2312"/>
          <w:color w:val="000000"/>
          <w:sz w:val="24"/>
          <w:szCs w:val="24"/>
          <w:lang w:eastAsia="zh-CN"/>
        </w:rPr>
        <w:t>）</w:t>
      </w:r>
      <w:r>
        <w:rPr>
          <w:rFonts w:hint="eastAsia" w:ascii="宋体" w:hAnsi="宋体" w:eastAsia="宋体" w:cs="楷体_GB2312"/>
          <w:color w:val="000000"/>
          <w:sz w:val="24"/>
          <w:szCs w:val="24"/>
        </w:rPr>
        <w:t>】</w:t>
      </w:r>
      <w:r>
        <w:rPr>
          <w:rFonts w:hint="eastAsia" w:ascii="宋体" w:hAnsi="宋体" w:eastAsia="宋体" w:cs="楷体_GB2312"/>
          <w:color w:val="000000"/>
          <w:sz w:val="24"/>
          <w:szCs w:val="24"/>
          <w:lang w:eastAsia="zh-CN"/>
        </w:rPr>
        <w:t>。</w:t>
      </w:r>
      <w:r>
        <w:rPr>
          <w:rFonts w:hint="eastAsia" w:ascii="宋体" w:hAnsi="宋体" w:eastAsia="宋体" w:cs="楷体_GB2312"/>
          <w:color w:val="000000"/>
          <w:sz w:val="24"/>
          <w:szCs w:val="24"/>
        </w:rPr>
        <w:t>履约保证金收取后，</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应向买受人开具收款凭证。履约保证金不足时，</w:t>
      </w:r>
      <w:r>
        <w:rPr>
          <w:rFonts w:hint="eastAsia" w:ascii="宋体" w:hAnsi="宋体" w:eastAsia="宋体" w:cs="楷体_GB2312"/>
          <w:color w:val="000000"/>
          <w:sz w:val="24"/>
          <w:szCs w:val="24"/>
          <w:lang w:eastAsia="zh-CN"/>
        </w:rPr>
        <w:t>买受人</w:t>
      </w:r>
      <w:r>
        <w:rPr>
          <w:rFonts w:hint="eastAsia" w:ascii="宋体" w:hAnsi="宋体" w:eastAsia="宋体" w:cs="楷体_GB2312"/>
          <w:color w:val="000000"/>
          <w:sz w:val="24"/>
          <w:szCs w:val="24"/>
        </w:rPr>
        <w:t>须在接</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通知后3个工作日内补足。待标的物交付完毕且确认双方无纠纷，由</w:t>
      </w:r>
      <w:r>
        <w:rPr>
          <w:rFonts w:hint="eastAsia" w:ascii="宋体" w:hAnsi="宋体" w:eastAsia="宋体" w:cs="楷体_GB2312"/>
          <w:color w:val="000000"/>
          <w:sz w:val="24"/>
          <w:szCs w:val="24"/>
          <w:lang w:eastAsia="zh-CN"/>
        </w:rPr>
        <w:t>委托人</w:t>
      </w:r>
      <w:r>
        <w:rPr>
          <w:rFonts w:hint="eastAsia" w:ascii="宋体" w:hAnsi="宋体" w:eastAsia="宋体" w:cs="楷体_GB2312"/>
          <w:color w:val="000000"/>
          <w:sz w:val="24"/>
          <w:szCs w:val="24"/>
        </w:rPr>
        <w:t>一次性退还给</w:t>
      </w:r>
      <w:r>
        <w:rPr>
          <w:rFonts w:hint="eastAsia" w:ascii="宋体" w:hAnsi="宋体" w:eastAsia="宋体" w:cs="楷体_GB2312"/>
          <w:color w:val="000000"/>
          <w:sz w:val="24"/>
          <w:szCs w:val="24"/>
          <w:lang w:eastAsia="zh-CN"/>
        </w:rPr>
        <w:t>买受人履约保证金</w:t>
      </w:r>
      <w:r>
        <w:rPr>
          <w:rFonts w:hint="eastAsia" w:ascii="宋体" w:hAnsi="宋体" w:eastAsia="宋体" w:cs="楷体_GB2312"/>
          <w:color w:val="000000"/>
          <w:sz w:val="24"/>
          <w:szCs w:val="24"/>
        </w:rPr>
        <w:t>（</w:t>
      </w:r>
      <w:r>
        <w:rPr>
          <w:rFonts w:hint="eastAsia" w:ascii="宋体" w:hAnsi="宋体" w:eastAsia="宋体" w:cs="楷体_GB2312"/>
          <w:color w:val="000000"/>
          <w:sz w:val="24"/>
          <w:szCs w:val="24"/>
          <w:lang w:eastAsia="zh-CN"/>
        </w:rPr>
        <w:t>按</w:t>
      </w:r>
      <w:r>
        <w:rPr>
          <w:rFonts w:hint="eastAsia" w:ascii="宋体" w:hAnsi="宋体" w:eastAsia="宋体" w:cs="楷体_GB2312"/>
          <w:color w:val="000000"/>
          <w:sz w:val="24"/>
          <w:szCs w:val="24"/>
        </w:rPr>
        <w:t>银行同期活期存款利率计息）。</w:t>
      </w:r>
    </w:p>
    <w:p w14:paraId="72AF9953">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default" w:eastAsia="宋体"/>
          <w:color w:val="000000"/>
          <w:lang w:val="en-US" w:eastAsia="zh-CN"/>
        </w:rPr>
      </w:pPr>
      <w:r>
        <w:rPr>
          <w:rFonts w:hint="eastAsia"/>
          <w:color w:val="000000"/>
          <w:lang w:val="en-US" w:eastAsia="zh-CN"/>
        </w:rPr>
        <w:t xml:space="preserve">     （二）</w:t>
      </w:r>
      <w:r>
        <w:rPr>
          <w:rFonts w:hint="eastAsia" w:ascii="宋体" w:hAnsi="宋体" w:eastAsia="宋体" w:cs="楷体_GB2312"/>
          <w:color w:val="000000"/>
          <w:sz w:val="24"/>
          <w:szCs w:val="24"/>
          <w:lang w:val="en-US" w:eastAsia="zh-CN"/>
        </w:rPr>
        <w:t>买受人竞得标的物后，不得另行转包或违法分包，如发现此类情况，委托人有权收回标的物，对买受人作违约处理，所缴纳的履约保证金不予退还，扣除履约保证金仍不足以弥补对委托人造成的损失，买受人还需赔偿委托人的相应损失。由此产生的经济损失及法律风险均由买受人自行承担。</w:t>
      </w:r>
    </w:p>
    <w:p w14:paraId="0FF41E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三）买受人须遵守相关法律法规，并依据环卫、环保、路政、交警等部门规定，自行办理清运相关手续并承担费用，使用报备车辆，按指定线路进行运输。买受人在清运期间不得影响周边居民、企业的正常生活及生产，确保道路通畅，并应针对扬尘、交通事故、道路破损、噪声、震动导致房屋开裂等问题采取相应措施。若因买受人行为导致影响、危害人身安全或财产损失等后果，相应的责任和费用由买受人自行承担，与委托人无涉。</w:t>
      </w:r>
    </w:p>
    <w:p w14:paraId="7A633131">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四）买受人须根据施工进度取料，每次须在接到施工单位开挖通知后48小时内完成土石料的清运，逾期视为自动放弃，委托人有权按废弃物予以处理，相关处置费用由买受人承担（从履约保证金中扣除）。上述情况超过3次，委托人有权提前终止合同，且履约保证金不予退还。施工单位在临时堆场将标的物分批交付于买受人，进入临时堆场后的土石料由买受人自行看管，委托人不承担看管义务，如发生盗窃、丢失等问题，相应风险由买受人自行承担，与委托人无关。标的物接收周期同施工周期，买受人须确保及时提取标的物，以免影响项目施工进度。然而，委托人不对提取标的物的具体时间、单次数量及总次数作出保证，买受人应对此有充分认知，并承诺不因此向委托人提出异议或要求赔偿。</w:t>
      </w:r>
    </w:p>
    <w:p w14:paraId="0B4FFF0B">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default"/>
          <w:color w:val="000000"/>
          <w:lang w:val="en-US" w:eastAsia="zh-CN"/>
        </w:rPr>
      </w:pPr>
      <w:r>
        <w:rPr>
          <w:rFonts w:hint="eastAsia" w:ascii="宋体" w:hAnsi="宋体" w:eastAsia="宋体" w:cs="楷体_GB2312"/>
          <w:b w:val="0"/>
          <w:bCs w:val="0"/>
          <w:color w:val="000000"/>
          <w:kern w:val="2"/>
          <w:sz w:val="24"/>
          <w:szCs w:val="24"/>
          <w:lang w:val="en-US" w:eastAsia="zh-CN" w:bidi="ar-SA"/>
        </w:rPr>
        <w:t>（五）工程多余土石料按照已有的施工规范及批准施工方案进行开挖。土石料在开挖、爆破、装卸、运输、堆砌、筛选等环节中可能混杂并降低品质，相关风险由竞买人自负，且竞买人无权拒收标的物、向委托人索赔或提出新的开采建议。</w:t>
      </w:r>
    </w:p>
    <w:p w14:paraId="5E2BF38F">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六）买受人在履约期间，须无条件自行承担各类费用及安全环保责任（包括但不限于装卸、运输、安全事故、各类纠纷、税费等）。买受人须设置冲洗设备和设置，保持环境清洁，不污染路面，如有环境污染问题，移交环保部门和交通综合执法部门处理，相应的责任和费用全部由买受人承担,委托人有权从履约保证金中予以扣除。</w:t>
      </w:r>
    </w:p>
    <w:p w14:paraId="308C4A09">
      <w:pPr>
        <w:keepNext w:val="0"/>
        <w:keepLines w:val="0"/>
        <w:pageBreakBefore w:val="0"/>
        <w:widowControl w:val="0"/>
        <w:numPr>
          <w:ilvl w:val="0"/>
          <w:numId w:val="0"/>
        </w:numPr>
        <w:tabs>
          <w:tab w:val="left" w:pos="540"/>
        </w:tabs>
        <w:kinsoku/>
        <w:wordWrap/>
        <w:overflowPunct/>
        <w:topLinePunct w:val="0"/>
        <w:autoSpaceDE/>
        <w:autoSpaceDN/>
        <w:bidi w:val="0"/>
        <w:spacing w:line="500" w:lineRule="exact"/>
        <w:ind w:firstLine="480" w:firstLineChars="200"/>
        <w:textAlignment w:val="auto"/>
        <w:rPr>
          <w:rFonts w:hint="eastAsia" w:ascii="宋体" w:hAnsi="宋体" w:eastAsia="宋体" w:cs="楷体_GB2312"/>
          <w:color w:val="000000"/>
          <w:sz w:val="24"/>
          <w:szCs w:val="24"/>
          <w:lang w:val="en-US" w:eastAsia="zh-CN"/>
        </w:rPr>
      </w:pPr>
      <w:r>
        <w:rPr>
          <w:rFonts w:hint="eastAsia" w:ascii="宋体" w:hAnsi="宋体" w:eastAsia="宋体" w:cs="楷体_GB2312"/>
          <w:color w:val="000000"/>
          <w:sz w:val="24"/>
          <w:szCs w:val="24"/>
          <w:lang w:val="en-US" w:eastAsia="zh-CN"/>
        </w:rPr>
        <w:t>（七）买受人使用的作业机械及运输车辆须事先向委托人进行备案，并获得委托人的审批同意，否则不得进行标的物提取。临时堆场内，买受人的作业机械、提货车辆及操作人员均须服从施工单位与监理单位的统一管理。买受人的车辆和作业机械应在委托人指定的位置装卸土石料，并遵守施工单位管理人员的现场指挥。买受人严禁进入项目施工区域，不得干扰余姚市黄山未来社区（黄山西路北侧、开丰路两侧）地块工程的施工活动，且不得占用施工通道。</w:t>
      </w:r>
    </w:p>
    <w:p w14:paraId="786BAC0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cs="宋体"/>
          <w:color w:val="000000"/>
          <w:sz w:val="24"/>
          <w:highlight w:val="none"/>
          <w:lang w:eastAsia="zh-CN"/>
        </w:rPr>
        <w:t>八</w:t>
      </w:r>
      <w:r>
        <w:rPr>
          <w:rFonts w:hint="eastAsia" w:ascii="宋体" w:hAnsi="宋体" w:eastAsia="宋体" w:cs="宋体"/>
          <w:color w:val="000000"/>
          <w:sz w:val="24"/>
          <w:highlight w:val="none"/>
        </w:rPr>
        <w:t>）买受人必须按规定线路运输，运输方案须经交警、路政等部门同意后方可实施。提货期间，买受人需配备工作人员做好交通指挥和车辆调度等工作，相关工作人员费用由买受人自理。因买受人原因导致交通拥堵的，</w:t>
      </w:r>
      <w:r>
        <w:rPr>
          <w:rFonts w:hint="eastAsia" w:ascii="宋体" w:hAnsi="宋体" w:eastAsia="宋体" w:cs="宋体"/>
          <w:color w:val="000000"/>
          <w:sz w:val="24"/>
          <w:highlight w:val="none"/>
          <w:lang w:eastAsia="zh-CN"/>
        </w:rPr>
        <w:t>相应的责任和费用均由买受人承担，与委托人无涉</w:t>
      </w:r>
      <w:r>
        <w:rPr>
          <w:rFonts w:hint="eastAsia" w:ascii="宋体" w:hAnsi="宋体" w:eastAsia="宋体" w:cs="宋体"/>
          <w:color w:val="000000"/>
          <w:sz w:val="24"/>
          <w:highlight w:val="none"/>
        </w:rPr>
        <w:t>。</w:t>
      </w:r>
    </w:p>
    <w:p w14:paraId="77B0A06F">
      <w:pPr>
        <w:pStyle w:val="4"/>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九）为确保土石方提取运输过程安全有序，买受人应当向属地保险机构购买该过程的安全生产责任险，从业人员的施工人员意外险和工伤保险，运输车辆的交强险、第三者责任保险（不低于200万），作业设备的机械设备险。如发生安全事故，所造成的一切损失由买受人自行承担，与委托人无涉。若发生重大安全事故或人员伤亡，买受人应立即采取必要措施抢救伤员，防止事态扩大，减少损失，并即刻通知委托人及相关部门，相关费用由买受人承担。</w:t>
      </w:r>
    </w:p>
    <w:p w14:paraId="7772F443">
      <w:pPr>
        <w:pStyle w:val="4"/>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十）因提取运输导致道路、周边房屋、管线等损坏的，买受人应立即做好临时安全措施，且及时做好修复工作，因修复、赔偿产生的一切费用由买受人承担。若买受人未及时修复或赔付，委托人有权代为进行，相关费用将从买受人的履约保证金中直接扣除。待提取完毕后30日内，买受人需对运输线路上的道路进行全面维修，确保其恢复至原状，所有修复费用均由买受人承担。经委托人验收合格后，方可退还保证金。</w:t>
      </w:r>
    </w:p>
    <w:p w14:paraId="73B94BC9">
      <w:pPr>
        <w:pStyle w:val="4"/>
        <w:keepNext w:val="0"/>
        <w:keepLines w:val="0"/>
        <w:pageBreakBefore w:val="0"/>
        <w:widowControl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十一）在履约期间，若买受人被第三方投诉或诉讼，买受人须自行妥善处理；若因此产生不良影响及负面社会舆论，将视买受人为违约，委托人有权解除合同，所缴纳的履约保证金概不退还。扣除履约保证金仍不足以弥补对委托人造成的损失，买受人还需赔偿委托人的相应损失。由此产生的经济损失及法律风险均由买受人自行承担。</w:t>
      </w:r>
    </w:p>
    <w:p w14:paraId="6E54FE23">
      <w:pPr>
        <w:pStyle w:val="4"/>
        <w:keepNext w:val="0"/>
        <w:keepLines w:val="0"/>
        <w:pageBreakBefore w:val="0"/>
        <w:widowControl w:val="0"/>
        <w:kinsoku/>
        <w:wordWrap/>
        <w:overflowPunct/>
        <w:topLinePunct w:val="0"/>
        <w:autoSpaceDE/>
        <w:autoSpaceDN/>
        <w:bidi w:val="0"/>
        <w:adjustRightInd/>
        <w:snapToGrid/>
        <w:spacing w:line="500" w:lineRule="exact"/>
        <w:ind w:right="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十二）如在工程实际需求或不可抗力因素启动设计变更时，对原调查与设计方案进行规范调整，导致标的物数量发生变化的，委托人将对拍卖成交款进行多退少补处理[即具体金额按公式“拍卖成交款÷土石料估算量×（土石料估算量－项目变更后土石料估算量）”结算]。买受人需无条件接受此调整，并在收到委托人书面通知后30日内完成补足或退还。</w:t>
      </w:r>
    </w:p>
    <w:p w14:paraId="0946B7E5">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olor w:val="000000"/>
          <w:sz w:val="24"/>
          <w:lang w:val="en-US" w:eastAsia="zh-CN"/>
        </w:rPr>
      </w:pPr>
      <w:r>
        <w:rPr>
          <w:rFonts w:hint="eastAsia" w:ascii="宋体" w:hAnsi="宋体" w:eastAsia="宋体" w:cs="宋体"/>
          <w:color w:val="000000"/>
          <w:kern w:val="0"/>
          <w:sz w:val="24"/>
          <w:lang w:eastAsia="zh-CN"/>
        </w:rPr>
        <w:t>（十三）</w:t>
      </w:r>
      <w:r>
        <w:rPr>
          <w:rFonts w:hint="eastAsia" w:ascii="宋体" w:hAnsi="宋体" w:eastAsia="宋体" w:cs="宋体"/>
          <w:color w:val="000000"/>
          <w:kern w:val="0"/>
          <w:sz w:val="24"/>
        </w:rPr>
        <w:t>其他内</w:t>
      </w:r>
      <w:r>
        <w:rPr>
          <w:rFonts w:hint="eastAsia" w:ascii="宋体" w:hAnsi="宋体" w:cs="宋体"/>
          <w:color w:val="000000"/>
          <w:kern w:val="0"/>
          <w:sz w:val="24"/>
        </w:rPr>
        <w:t>容详见附件</w:t>
      </w:r>
      <w:r>
        <w:rPr>
          <w:rFonts w:hint="eastAsia" w:ascii="宋体" w:hAnsi="宋体" w:cs="宋体"/>
          <w:color w:val="000000"/>
          <w:kern w:val="0"/>
          <w:sz w:val="24"/>
          <w:lang w:eastAsia="zh-CN"/>
        </w:rPr>
        <w:t>《土石料买卖合同（样本）》。</w:t>
      </w:r>
    </w:p>
    <w:p w14:paraId="12157DA1">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ascii="宋体" w:hAnsi="宋体"/>
          <w:b/>
          <w:color w:val="000000"/>
          <w:sz w:val="28"/>
          <w:szCs w:val="28"/>
        </w:rPr>
      </w:pPr>
      <w:r>
        <w:rPr>
          <w:rFonts w:hint="eastAsia" w:ascii="宋体" w:hAnsi="宋体"/>
          <w:b/>
          <w:color w:val="000000"/>
          <w:sz w:val="28"/>
          <w:szCs w:val="28"/>
        </w:rPr>
        <w:t>拍卖前期活动</w:t>
      </w:r>
    </w:p>
    <w:p w14:paraId="3917DC62">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2" w:firstLineChars="200"/>
        <w:textAlignment w:val="auto"/>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53CD5F79">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0" w:firstLineChars="200"/>
        <w:textAlignment w:val="auto"/>
        <w:rPr>
          <w:rFonts w:ascii="宋体" w:hAnsi="宋体"/>
          <w:color w:val="000000"/>
          <w:sz w:val="24"/>
        </w:rPr>
      </w:pPr>
      <w:r>
        <w:rPr>
          <w:rFonts w:hint="eastAsia" w:ascii="宋体" w:hAnsi="宋体"/>
          <w:color w:val="000000"/>
          <w:sz w:val="24"/>
        </w:rPr>
        <w:t>若拍卖文件需要修正或补充的，拍卖人可以在举行拍卖会之前告知竞买人。如修正或补充内容涉及实质性变化的，须重新计算公告期。竞买人一经参拍或应价的，均视为已接受此修正或补充。</w:t>
      </w:r>
    </w:p>
    <w:p w14:paraId="25E118E0">
      <w:pPr>
        <w:keepNext w:val="0"/>
        <w:keepLines w:val="0"/>
        <w:pageBreakBefore w:val="0"/>
        <w:widowControl w:val="0"/>
        <w:tabs>
          <w:tab w:val="left" w:pos="1995"/>
        </w:tabs>
        <w:kinsoku/>
        <w:wordWrap/>
        <w:overflowPunct/>
        <w:topLinePunct w:val="0"/>
        <w:autoSpaceDE/>
        <w:autoSpaceDN/>
        <w:bidi w:val="0"/>
        <w:adjustRightInd/>
        <w:snapToGrid/>
        <w:spacing w:line="500" w:lineRule="exact"/>
        <w:ind w:firstLine="480" w:firstLineChars="200"/>
        <w:textAlignment w:val="auto"/>
        <w:rPr>
          <w:rFonts w:ascii="宋体" w:hAnsi="宋体"/>
          <w:color w:val="000000"/>
          <w:sz w:val="24"/>
        </w:rPr>
      </w:pPr>
      <w:r>
        <w:rPr>
          <w:rFonts w:hint="eastAsia" w:ascii="宋体" w:hAnsi="宋体"/>
          <w:color w:val="000000"/>
          <w:sz w:val="24"/>
        </w:rPr>
        <w:t>在拍卖会举行前，如委托人决定中止、暂缓或终止委托拍卖的，则竞买人应当无条件的予以接受，交纳的竞买保证金予以退还(按银行同期活期存款利率计息），委托人和拍卖人不承担竞买人的一切损失。</w:t>
      </w:r>
    </w:p>
    <w:p w14:paraId="79953C2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color w:val="000000"/>
          <w:sz w:val="24"/>
        </w:rPr>
      </w:pPr>
      <w:r>
        <w:rPr>
          <w:rFonts w:hint="eastAsia" w:ascii="宋体" w:hAnsi="宋体"/>
          <w:b/>
          <w:bCs/>
          <w:color w:val="000000"/>
          <w:sz w:val="24"/>
        </w:rPr>
        <w:t>第七条</w:t>
      </w:r>
      <w:r>
        <w:rPr>
          <w:rFonts w:hint="eastAsia" w:ascii="宋体" w:hAnsi="宋体"/>
          <w:color w:val="000000"/>
          <w:sz w:val="24"/>
        </w:rPr>
        <w:t xml:space="preserve">  竞买人应在报名登记前按时、足额交纳竞买保证金（按银行同期活期存款利率计息）。</w:t>
      </w:r>
    </w:p>
    <w:p w14:paraId="7FD4FF9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000000"/>
          <w:sz w:val="24"/>
        </w:rPr>
      </w:pPr>
      <w:r>
        <w:rPr>
          <w:rFonts w:hint="eastAsia" w:ascii="宋体" w:hAnsi="宋体"/>
          <w:color w:val="000000"/>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407D6EF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b/>
          <w:color w:val="000000"/>
          <w:sz w:val="24"/>
        </w:rPr>
      </w:pPr>
      <w:r>
        <w:rPr>
          <w:rFonts w:hint="eastAsia" w:ascii="宋体" w:hAnsi="宋体"/>
          <w:b/>
          <w:bCs/>
          <w:color w:val="000000"/>
          <w:sz w:val="24"/>
        </w:rPr>
        <w:t>（二）</w:t>
      </w:r>
      <w:r>
        <w:rPr>
          <w:rFonts w:hint="eastAsia" w:ascii="宋体" w:hAnsi="宋体"/>
          <w:b/>
          <w:color w:val="000000"/>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1BDB2AF0">
      <w:pPr>
        <w:keepNext w:val="0"/>
        <w:keepLines w:val="0"/>
        <w:pageBreakBefore w:val="0"/>
        <w:widowControl w:val="0"/>
        <w:kinsoku/>
        <w:wordWrap/>
        <w:overflowPunct/>
        <w:topLinePunct w:val="0"/>
        <w:autoSpaceDE/>
        <w:autoSpaceDN/>
        <w:bidi w:val="0"/>
        <w:adjustRightInd/>
        <w:spacing w:before="156" w:beforeLines="50" w:after="156" w:afterLines="50" w:line="500" w:lineRule="exact"/>
        <w:jc w:val="center"/>
        <w:textAlignment w:val="auto"/>
        <w:rPr>
          <w:rFonts w:ascii="宋体" w:hAnsi="宋体"/>
          <w:b/>
          <w:color w:val="000000"/>
          <w:sz w:val="28"/>
          <w:szCs w:val="28"/>
        </w:rPr>
      </w:pPr>
      <w:r>
        <w:rPr>
          <w:rFonts w:hint="eastAsia" w:ascii="宋体" w:hAnsi="宋体"/>
          <w:b/>
          <w:color w:val="000000"/>
          <w:sz w:val="28"/>
          <w:szCs w:val="28"/>
        </w:rPr>
        <w:t>网络拍卖</w:t>
      </w:r>
    </w:p>
    <w:p w14:paraId="1AB5A894">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ascii="宋体" w:hAnsi="宋体"/>
          <w:color w:val="000000"/>
          <w:sz w:val="24"/>
        </w:rPr>
      </w:pPr>
      <w:r>
        <w:rPr>
          <w:rFonts w:ascii="宋体" w:hAnsi="宋体"/>
          <w:b/>
          <w:bCs/>
          <w:color w:val="000000"/>
          <w:sz w:val="24"/>
        </w:rPr>
        <w:t>第</w:t>
      </w:r>
      <w:r>
        <w:rPr>
          <w:rFonts w:hint="eastAsia" w:ascii="宋体" w:hAnsi="宋体"/>
          <w:b/>
          <w:bCs/>
          <w:color w:val="000000"/>
          <w:sz w:val="24"/>
        </w:rPr>
        <w:t>八</w:t>
      </w:r>
      <w:r>
        <w:rPr>
          <w:rFonts w:ascii="宋体" w:hAnsi="宋体"/>
          <w:b/>
          <w:bCs/>
          <w:color w:val="000000"/>
          <w:sz w:val="24"/>
        </w:rPr>
        <w:t>条</w:t>
      </w:r>
      <w:r>
        <w:rPr>
          <w:rFonts w:ascii="宋体" w:hAnsi="宋体"/>
          <w:color w:val="000000"/>
          <w:sz w:val="24"/>
        </w:rPr>
        <w:t xml:space="preserve"> </w:t>
      </w:r>
      <w:r>
        <w:rPr>
          <w:rFonts w:hint="eastAsia" w:ascii="宋体" w:hAnsi="宋体"/>
          <w:color w:val="000000"/>
          <w:sz w:val="24"/>
        </w:rPr>
        <w:t xml:space="preserve"> 本次拍卖标的经过规定的报刊、网络发布公告，并经实地展示，在“宁波阳明拍卖有限公司网络拍卖平台”进行公开拍卖。</w:t>
      </w:r>
    </w:p>
    <w:p w14:paraId="7D27CD7D">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hAnsi="宋体"/>
          <w:b/>
          <w:color w:val="000000"/>
          <w:sz w:val="24"/>
        </w:rPr>
      </w:pPr>
      <w:r>
        <w:rPr>
          <w:rFonts w:hint="eastAsia" w:ascii="宋体" w:hAnsi="宋体"/>
          <w:b/>
          <w:color w:val="000000"/>
          <w:sz w:val="24"/>
        </w:rPr>
        <w:t>温馨提示：①在竞价前，竞买人应选择良好的网络环境下进行电脑操作；②在竞价过程中，竞买人应仔细核对报价金额是否有误；③为确保竞价过程顺利进行，应适时刷新页面。</w:t>
      </w:r>
    </w:p>
    <w:p w14:paraId="07209147">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color w:val="000000"/>
          <w:sz w:val="24"/>
        </w:rPr>
      </w:pPr>
      <w:r>
        <w:rPr>
          <w:rFonts w:hint="eastAsia" w:ascii="宋体" w:hAnsi="宋体"/>
          <w:color w:val="000000"/>
          <w:sz w:val="24"/>
        </w:rPr>
        <w:t>本次拍卖采用“网络拍卖”的方式，价高者得的原则，</w:t>
      </w:r>
      <w:r>
        <w:rPr>
          <w:rFonts w:hint="eastAsia" w:ascii="宋体" w:hAnsi="宋体"/>
          <w:color w:val="000000"/>
          <w:sz w:val="24"/>
          <w:lang w:eastAsia="zh-CN"/>
        </w:rPr>
        <w:t>产生最终买受人</w:t>
      </w:r>
      <w:r>
        <w:rPr>
          <w:rFonts w:hint="eastAsia" w:ascii="宋体" w:hAnsi="宋体"/>
          <w:color w:val="000000"/>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20B4DBAC">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宋体"/>
          <w:color w:val="000000"/>
          <w:sz w:val="24"/>
        </w:rPr>
      </w:pPr>
      <w:r>
        <w:rPr>
          <w:rFonts w:hint="eastAsia" w:ascii="宋体" w:hAnsi="宋体" w:eastAsia="宋体" w:cs="宋体"/>
          <w:color w:val="000000"/>
          <w:sz w:val="24"/>
        </w:rPr>
        <w:t>若本次拍卖有优先权人参加，具有优先权的竞买人可在竞价时间内，对当前</w:t>
      </w:r>
      <w:r>
        <w:rPr>
          <w:rFonts w:hint="eastAsia" w:ascii="宋体" w:hAnsi="宋体" w:eastAsia="宋体" w:cs="宋体"/>
          <w:color w:val="000000"/>
          <w:sz w:val="24"/>
          <w:lang w:eastAsia="zh-CN"/>
        </w:rPr>
        <w:t>价格</w:t>
      </w:r>
      <w:r>
        <w:rPr>
          <w:rFonts w:hint="eastAsia" w:ascii="宋体" w:hAnsi="宋体" w:eastAsia="宋体" w:cs="宋体"/>
          <w:color w:val="000000"/>
          <w:sz w:val="24"/>
        </w:rPr>
        <w:t>行使优先权或出更高的价格。如优先权人未出价的，则视为该优先权人自动放弃优先权。</w:t>
      </w:r>
    </w:p>
    <w:p w14:paraId="0DB7A91A">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color w:val="000000"/>
          <w:sz w:val="24"/>
        </w:rPr>
      </w:pPr>
      <w:r>
        <w:rPr>
          <w:rFonts w:hint="eastAsia" w:ascii="宋体" w:hAnsi="宋体" w:eastAsia="宋体" w:cs="宋体"/>
          <w:color w:val="000000"/>
          <w:sz w:val="24"/>
        </w:rPr>
        <w:t>如当前最高应价者为优先权人的，则买受人为优先权人；如有更高应价，且优先权人不再出价的，则买受人为该应价最高的竞买人。</w:t>
      </w:r>
    </w:p>
    <w:p w14:paraId="2540833C">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ascii="宋体" w:hAnsi="宋体"/>
          <w:color w:val="000000"/>
          <w:sz w:val="24"/>
        </w:rPr>
      </w:pPr>
      <w:r>
        <w:rPr>
          <w:rFonts w:hint="eastAsia" w:ascii="宋体" w:hAnsi="宋体"/>
          <w:b/>
          <w:bCs/>
          <w:color w:val="000000"/>
          <w:sz w:val="24"/>
        </w:rPr>
        <w:t xml:space="preserve">第九条 </w:t>
      </w:r>
      <w:r>
        <w:rPr>
          <w:rFonts w:hint="eastAsia" w:ascii="宋体" w:hAnsi="宋体"/>
          <w:color w:val="000000"/>
          <w:sz w:val="24"/>
        </w:rPr>
        <w:t xml:space="preserve"> 买受人须在成交当日（截止下午5时）到拍卖人处签署《拍卖成交确认书》等拍卖文件。上述文件不论买受人是否签署，其全部条款即对买受人产生约束力并生效。</w:t>
      </w:r>
    </w:p>
    <w:p w14:paraId="6ADF7678">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hAnsi="宋体"/>
          <w:b/>
          <w:color w:val="000000"/>
          <w:sz w:val="24"/>
        </w:rPr>
      </w:pPr>
      <w:r>
        <w:rPr>
          <w:rFonts w:hint="eastAsia" w:ascii="宋体" w:hAnsi="宋体"/>
          <w:b/>
          <w:color w:val="000000"/>
          <w:sz w:val="24"/>
        </w:rPr>
        <w:t>第十条  特别注意事项：用户的网站注册人名称必须与竞买保证金交纳人名称、买受人名称一致，否则造成的损失和后果由竞买人自行承担，与拍卖人、委托人无关。</w:t>
      </w:r>
    </w:p>
    <w:p w14:paraId="08D2A944">
      <w:pPr>
        <w:keepNext w:val="0"/>
        <w:keepLines w:val="0"/>
        <w:pageBreakBefore w:val="0"/>
        <w:widowControl w:val="0"/>
        <w:kinsoku/>
        <w:wordWrap/>
        <w:overflowPunct/>
        <w:topLinePunct w:val="0"/>
        <w:autoSpaceDE/>
        <w:autoSpaceDN/>
        <w:bidi w:val="0"/>
        <w:adjustRightInd/>
        <w:spacing w:before="156" w:beforeLines="50" w:after="156" w:afterLines="50" w:line="500" w:lineRule="exact"/>
        <w:jc w:val="center"/>
        <w:textAlignment w:val="auto"/>
        <w:rPr>
          <w:rFonts w:ascii="宋体" w:hAnsi="宋体"/>
          <w:b/>
          <w:color w:val="000000"/>
          <w:sz w:val="28"/>
          <w:szCs w:val="28"/>
        </w:rPr>
      </w:pPr>
      <w:r>
        <w:rPr>
          <w:rFonts w:hint="eastAsia" w:ascii="宋体" w:hAnsi="宋体"/>
          <w:b/>
          <w:color w:val="000000"/>
          <w:sz w:val="28"/>
          <w:szCs w:val="28"/>
        </w:rPr>
        <w:t>拍卖后期工作</w:t>
      </w:r>
    </w:p>
    <w:p w14:paraId="6A465FAE">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ascii="宋体" w:hAnsi="宋体"/>
          <w:color w:val="000000"/>
          <w:sz w:val="24"/>
          <w:highlight w:val="none"/>
        </w:rPr>
      </w:pPr>
      <w:r>
        <w:rPr>
          <w:rFonts w:hint="eastAsia" w:ascii="宋体" w:hAnsi="宋体"/>
          <w:b/>
          <w:bCs/>
          <w:color w:val="000000"/>
          <w:sz w:val="24"/>
        </w:rPr>
        <w:t>第十一条</w:t>
      </w:r>
      <w:r>
        <w:rPr>
          <w:rFonts w:hint="eastAsia" w:ascii="宋体" w:hAnsi="宋体"/>
          <w:b/>
          <w:bCs/>
          <w:color w:val="000000"/>
          <w:sz w:val="24"/>
          <w:lang w:val="en-US" w:eastAsia="zh-CN"/>
        </w:rPr>
        <w:t xml:space="preserve"> </w:t>
      </w:r>
      <w:r>
        <w:rPr>
          <w:rFonts w:hint="eastAsia" w:ascii="宋体" w:hAnsi="宋体"/>
          <w:b/>
          <w:bCs/>
          <w:color w:val="000000"/>
          <w:sz w:val="24"/>
        </w:rPr>
        <w:t xml:space="preserve"> </w:t>
      </w:r>
      <w:r>
        <w:rPr>
          <w:rFonts w:hint="eastAsia" w:ascii="宋体" w:hAnsi="宋体"/>
          <w:color w:val="000000"/>
          <w:sz w:val="24"/>
        </w:rPr>
        <w:t>未竞得拍卖标的的竞买人，在拍卖会结束后的3个工作日内，由拍卖人凭竞买人报名时登记的户名及账号退还竞买保证金（按银行同期活期存款利率计息）；</w:t>
      </w:r>
      <w:r>
        <w:rPr>
          <w:rFonts w:hint="eastAsia" w:ascii="宋体" w:hAnsi="宋体" w:cs="宋体"/>
          <w:color w:val="000000"/>
          <w:kern w:val="0"/>
          <w:sz w:val="24"/>
          <w:highlight w:val="none"/>
        </w:rPr>
        <w:t>买受人交纳的竞买保证金</w:t>
      </w:r>
      <w:r>
        <w:rPr>
          <w:rFonts w:hint="eastAsia" w:ascii="宋体" w:hAnsi="宋体"/>
          <w:color w:val="000000"/>
          <w:sz w:val="24"/>
          <w:highlight w:val="none"/>
        </w:rPr>
        <w:t>（按银行同期活期存款利率计息）凭</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土石料买卖合同</w:t>
      </w:r>
      <w:r>
        <w:rPr>
          <w:rFonts w:hint="eastAsia" w:ascii="宋体" w:hAnsi="宋体" w:cs="宋体"/>
          <w:color w:val="000000"/>
          <w:kern w:val="0"/>
          <w:sz w:val="24"/>
          <w:highlight w:val="none"/>
        </w:rPr>
        <w:t>》</w:t>
      </w:r>
      <w:r>
        <w:rPr>
          <w:rFonts w:hint="eastAsia" w:ascii="宋体" w:hAnsi="宋体"/>
          <w:color w:val="000000"/>
          <w:sz w:val="24"/>
          <w:highlight w:val="none"/>
          <w:lang w:eastAsia="zh-CN"/>
        </w:rPr>
        <w:t>复印件</w:t>
      </w:r>
      <w:r>
        <w:rPr>
          <w:rFonts w:hint="eastAsia" w:ascii="宋体" w:hAnsi="宋体"/>
          <w:color w:val="000000"/>
          <w:sz w:val="24"/>
          <w:highlight w:val="none"/>
        </w:rPr>
        <w:t xml:space="preserve">到拍卖人处退还。  </w:t>
      </w:r>
    </w:p>
    <w:p w14:paraId="3A99F4D4">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ascii="宋体" w:hAnsi="宋体"/>
          <w:b/>
          <w:bCs/>
          <w:color w:val="000000"/>
          <w:sz w:val="24"/>
        </w:rPr>
      </w:pPr>
      <w:r>
        <w:rPr>
          <w:rFonts w:hint="eastAsia" w:ascii="宋体" w:hAnsi="宋体"/>
          <w:b/>
          <w:bCs/>
          <w:color w:val="000000"/>
          <w:sz w:val="24"/>
        </w:rPr>
        <w:t>如未收到竞买保证金的，请及时与拍卖人联系（0574-62727901）。</w:t>
      </w:r>
    </w:p>
    <w:p w14:paraId="30571F3C">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textAlignment w:val="auto"/>
        <w:rPr>
          <w:rFonts w:hint="eastAsia" w:ascii="宋体" w:hAnsi="宋体" w:cs="宋体"/>
          <w:color w:val="000000"/>
          <w:kern w:val="0"/>
          <w:sz w:val="24"/>
        </w:rPr>
      </w:pPr>
      <w:r>
        <w:rPr>
          <w:rFonts w:hint="eastAsia" w:ascii="宋体" w:hAnsi="宋体"/>
          <w:b/>
          <w:bCs/>
          <w:color w:val="000000"/>
          <w:sz w:val="24"/>
          <w:lang w:val="en-US" w:eastAsia="zh-CN"/>
        </w:rPr>
        <w:t xml:space="preserve">第十二条 </w:t>
      </w:r>
      <w:r>
        <w:rPr>
          <w:rFonts w:hint="eastAsia" w:ascii="宋体" w:hAnsi="宋体" w:cs="宋体"/>
          <w:b/>
          <w:color w:val="000000"/>
          <w:kern w:val="0"/>
          <w:sz w:val="24"/>
        </w:rPr>
        <w:t>付款办法及签约时间：</w:t>
      </w:r>
      <w:r>
        <w:rPr>
          <w:rFonts w:hint="eastAsia" w:ascii="宋体" w:hAnsi="宋体" w:cs="宋体"/>
          <w:b w:val="0"/>
          <w:bCs/>
          <w:color w:val="000000"/>
          <w:kern w:val="0"/>
          <w:sz w:val="24"/>
        </w:rPr>
        <w:t>买受人</w:t>
      </w:r>
      <w:r>
        <w:rPr>
          <w:rFonts w:hint="eastAsia" w:ascii="宋体" w:hAnsi="宋体" w:cs="宋体"/>
          <w:color w:val="000000"/>
          <w:kern w:val="0"/>
          <w:sz w:val="24"/>
        </w:rPr>
        <w:t>须在</w:t>
      </w:r>
      <w:r>
        <w:rPr>
          <w:rFonts w:ascii="宋体" w:hAnsi="宋体" w:cs="宋体"/>
          <w:color w:val="000000"/>
          <w:kern w:val="0"/>
          <w:sz w:val="24"/>
        </w:rPr>
        <w:t>202</w:t>
      </w:r>
      <w:r>
        <w:rPr>
          <w:rFonts w:hint="eastAsia" w:ascii="宋体" w:hAnsi="宋体" w:cs="宋体"/>
          <w:color w:val="000000"/>
          <w:kern w:val="0"/>
          <w:sz w:val="24"/>
          <w:lang w:val="en-US" w:eastAsia="zh-CN"/>
        </w:rPr>
        <w:t>5</w:t>
      </w:r>
      <w:r>
        <w:rPr>
          <w:rFonts w:ascii="宋体" w:hAnsi="宋体" w:cs="宋体"/>
          <w:color w:val="000000"/>
          <w:kern w:val="0"/>
          <w:sz w:val="24"/>
        </w:rPr>
        <w:t>年</w:t>
      </w:r>
      <w:r>
        <w:rPr>
          <w:rFonts w:hint="eastAsia" w:ascii="宋体" w:hAnsi="宋体" w:cs="宋体"/>
          <w:color w:val="000000"/>
          <w:kern w:val="0"/>
          <w:sz w:val="24"/>
          <w:lang w:val="en-US" w:eastAsia="zh-CN"/>
        </w:rPr>
        <w:t>7月16日</w:t>
      </w:r>
      <w:r>
        <w:rPr>
          <w:rFonts w:ascii="宋体" w:hAnsi="宋体" w:cs="宋体"/>
          <w:color w:val="000000"/>
          <w:kern w:val="0"/>
          <w:sz w:val="24"/>
        </w:rPr>
        <w:t>下午4时</w:t>
      </w:r>
      <w:r>
        <w:rPr>
          <w:rFonts w:hint="eastAsia" w:ascii="宋体" w:hAnsi="宋体" w:cs="宋体"/>
          <w:color w:val="000000"/>
          <w:kern w:val="0"/>
          <w:sz w:val="24"/>
          <w:lang w:eastAsia="zh-CN"/>
        </w:rPr>
        <w:t>前</w:t>
      </w:r>
      <w:r>
        <w:rPr>
          <w:rFonts w:ascii="宋体" w:hAnsi="宋体" w:cs="宋体"/>
          <w:b/>
          <w:bCs/>
          <w:color w:val="000000"/>
          <w:kern w:val="0"/>
          <w:sz w:val="24"/>
        </w:rPr>
        <w:t>（以实际到账为准）</w:t>
      </w:r>
      <w:r>
        <w:rPr>
          <w:rFonts w:hint="eastAsia" w:ascii="宋体" w:hAnsi="宋体" w:cs="宋体"/>
          <w:color w:val="000000"/>
          <w:kern w:val="0"/>
          <w:sz w:val="24"/>
        </w:rPr>
        <w:t>向委托人一次性付清拍卖成交款和履约保证金，同时向拍卖人支付拍卖成交价4%的买受佣金，</w:t>
      </w:r>
      <w:r>
        <w:rPr>
          <w:rFonts w:hint="eastAsia" w:ascii="宋体" w:hAnsi="宋体" w:cs="宋体"/>
          <w:color w:val="000000"/>
          <w:kern w:val="0"/>
          <w:sz w:val="24"/>
          <w:lang w:eastAsia="zh-CN"/>
        </w:rPr>
        <w:t>然后于</w:t>
      </w:r>
      <w:r>
        <w:rPr>
          <w:rFonts w:hint="eastAsia" w:ascii="宋体" w:hAnsi="宋体" w:cs="宋体"/>
          <w:color w:val="000000"/>
          <w:kern w:val="0"/>
          <w:sz w:val="24"/>
          <w:lang w:val="en-US" w:eastAsia="zh-CN"/>
        </w:rPr>
        <w:t>2025年7月17日-</w:t>
      </w:r>
      <w:r>
        <w:rPr>
          <w:rFonts w:hint="eastAsia" w:ascii="宋体" w:hAnsi="宋体" w:cs="宋体"/>
          <w:b w:val="0"/>
          <w:bCs/>
          <w:color w:val="000000"/>
          <w:kern w:val="0"/>
          <w:sz w:val="24"/>
          <w:lang w:val="en-US" w:eastAsia="zh-CN"/>
        </w:rPr>
        <w:t>7月18日</w:t>
      </w:r>
      <w:r>
        <w:rPr>
          <w:rFonts w:hint="eastAsia" w:ascii="宋体" w:hAnsi="宋体" w:cs="宋体"/>
          <w:color w:val="000000"/>
          <w:kern w:val="0"/>
          <w:sz w:val="24"/>
          <w:lang w:val="en-US" w:eastAsia="zh-CN"/>
        </w:rPr>
        <w:t>（上午8:30—11:30，下午2:30—4:30）</w:t>
      </w:r>
      <w:r>
        <w:rPr>
          <w:rFonts w:hint="eastAsia" w:ascii="宋体" w:hAnsi="宋体"/>
          <w:color w:val="000000"/>
          <w:sz w:val="24"/>
        </w:rPr>
        <w:t>与委托人签订</w:t>
      </w:r>
      <w:r>
        <w:rPr>
          <w:rFonts w:hint="eastAsia" w:ascii="宋体" w:hAnsi="宋体" w:cs="宋体"/>
          <w:color w:val="000000"/>
          <w:kern w:val="0"/>
          <w:sz w:val="24"/>
        </w:rPr>
        <w:t>《</w:t>
      </w:r>
      <w:r>
        <w:rPr>
          <w:rFonts w:hint="eastAsia" w:ascii="宋体" w:hAnsi="宋体" w:cs="宋体"/>
          <w:color w:val="000000"/>
          <w:kern w:val="0"/>
          <w:sz w:val="24"/>
          <w:lang w:eastAsia="zh-CN"/>
        </w:rPr>
        <w:t>土石料买卖合同</w:t>
      </w:r>
      <w:r>
        <w:rPr>
          <w:rFonts w:hint="eastAsia" w:ascii="宋体" w:hAnsi="宋体" w:cs="宋体"/>
          <w:color w:val="000000"/>
          <w:kern w:val="0"/>
          <w:sz w:val="24"/>
        </w:rPr>
        <w:t>》。</w:t>
      </w:r>
      <w:r>
        <w:rPr>
          <w:rFonts w:hint="eastAsia" w:ascii="宋体" w:hAnsi="宋体"/>
          <w:color w:val="000000"/>
          <w:sz w:val="24"/>
        </w:rPr>
        <w:t xml:space="preserve">  </w:t>
      </w:r>
    </w:p>
    <w:p w14:paraId="7814A32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highlight w:val="none"/>
        </w:rPr>
      </w:pPr>
      <w:r>
        <w:rPr>
          <w:rFonts w:hint="eastAsia" w:ascii="宋体" w:hAnsi="宋体"/>
          <w:b/>
          <w:bCs/>
          <w:color w:val="000000"/>
          <w:sz w:val="24"/>
          <w:highlight w:val="none"/>
          <w:lang w:eastAsia="zh-CN"/>
        </w:rPr>
        <w:t>拍卖成交款</w:t>
      </w:r>
      <w:r>
        <w:rPr>
          <w:rFonts w:ascii="宋体" w:hAnsi="宋体"/>
          <w:b/>
          <w:bCs/>
          <w:color w:val="000000"/>
          <w:sz w:val="24"/>
          <w:highlight w:val="none"/>
        </w:rPr>
        <w:t>和履约保证金</w:t>
      </w:r>
      <w:r>
        <w:rPr>
          <w:rFonts w:hint="eastAsia" w:ascii="宋体" w:hAnsi="宋体" w:eastAsia="宋体" w:cs="Times New Roman"/>
          <w:b/>
          <w:bCs/>
          <w:color w:val="000000"/>
          <w:sz w:val="24"/>
          <w:highlight w:val="none"/>
          <w:lang w:val="en-US" w:eastAsia="zh-CN"/>
        </w:rPr>
        <w:t>请汇入委托人账户</w:t>
      </w:r>
      <w:r>
        <w:rPr>
          <w:rFonts w:hint="eastAsia" w:ascii="宋体" w:hAnsi="宋体" w:eastAsia="宋体" w:cs="Times New Roman"/>
          <w:color w:val="000000"/>
          <w:sz w:val="24"/>
          <w:highlight w:val="none"/>
          <w:lang w:val="en-US" w:eastAsia="zh-CN"/>
        </w:rPr>
        <w:t>（户名：余姚市城市建设投资发展有限公司；开户银行：工商银行余姚分行；账号：3901310009001012447）。</w:t>
      </w:r>
    </w:p>
    <w:p w14:paraId="4FE9E30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color w:val="000000"/>
          <w:sz w:val="24"/>
        </w:rPr>
      </w:pPr>
      <w:r>
        <w:rPr>
          <w:rFonts w:hint="eastAsia"/>
          <w:b/>
          <w:color w:val="000000"/>
          <w:sz w:val="24"/>
        </w:rPr>
        <w:t>买受佣金请汇入拍卖人账户</w:t>
      </w:r>
      <w:r>
        <w:rPr>
          <w:rFonts w:hint="eastAsia"/>
          <w:color w:val="000000"/>
          <w:sz w:val="24"/>
        </w:rPr>
        <w:t>（户名：宁波阳明拍卖有限公司，开户行：中信银行余姚支行，账号：</w:t>
      </w:r>
      <w:r>
        <w:rPr>
          <w:rFonts w:hint="eastAsia" w:ascii="宋体" w:hAnsi="宋体" w:eastAsia="宋体" w:cs="Times New Roman"/>
          <w:color w:val="000000"/>
          <w:sz w:val="24"/>
          <w:highlight w:val="none"/>
          <w:lang w:val="en-US" w:eastAsia="zh-CN"/>
        </w:rPr>
        <w:t>8114701084445008888</w:t>
      </w:r>
      <w:r>
        <w:rPr>
          <w:rFonts w:hint="eastAsia"/>
          <w:color w:val="000000"/>
          <w:sz w:val="24"/>
        </w:rPr>
        <w:t>）。</w:t>
      </w:r>
    </w:p>
    <w:p w14:paraId="0479C3F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000000"/>
          <w:sz w:val="24"/>
        </w:rPr>
      </w:pPr>
      <w:r>
        <w:rPr>
          <w:rFonts w:ascii="宋体" w:hAnsi="宋体" w:cs="宋体"/>
          <w:color w:val="000000"/>
          <w:kern w:val="0"/>
          <w:sz w:val="24"/>
        </w:rPr>
        <w:t>拍卖</w:t>
      </w:r>
      <w:r>
        <w:rPr>
          <w:rFonts w:ascii="宋体" w:hAnsi="宋体" w:cs="宋体"/>
          <w:color w:val="000000"/>
          <w:kern w:val="0"/>
          <w:sz w:val="24"/>
          <w:highlight w:val="none"/>
        </w:rPr>
        <w:t>人出具买受佣金发票，</w:t>
      </w:r>
      <w:r>
        <w:rPr>
          <w:rFonts w:hint="eastAsia" w:ascii="宋体" w:hAnsi="宋体" w:cs="宋体"/>
          <w:color w:val="000000"/>
          <w:kern w:val="0"/>
          <w:sz w:val="24"/>
          <w:highlight w:val="none"/>
          <w:lang w:eastAsia="zh-CN"/>
        </w:rPr>
        <w:t>委托人仅出具往来款收据</w:t>
      </w:r>
      <w:r>
        <w:rPr>
          <w:rFonts w:ascii="宋体" w:hAnsi="宋体" w:cs="宋体"/>
          <w:color w:val="000000"/>
          <w:kern w:val="0"/>
          <w:sz w:val="24"/>
          <w:highlight w:val="none"/>
        </w:rPr>
        <w:t>。</w:t>
      </w:r>
    </w:p>
    <w:p w14:paraId="218CC247">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b/>
          <w:color w:val="000000"/>
          <w:sz w:val="24"/>
        </w:rPr>
      </w:pPr>
      <w:r>
        <w:rPr>
          <w:rFonts w:hint="eastAsia" w:ascii="宋体" w:hAnsi="宋体"/>
          <w:b/>
          <w:color w:val="000000"/>
          <w:sz w:val="24"/>
          <w:lang w:eastAsia="zh-CN"/>
        </w:rPr>
        <w:t>第十三条</w:t>
      </w:r>
      <w:r>
        <w:rPr>
          <w:rFonts w:hint="eastAsia" w:ascii="宋体" w:hAnsi="宋体"/>
          <w:b/>
          <w:color w:val="000000"/>
          <w:sz w:val="24"/>
          <w:lang w:val="en-US" w:eastAsia="zh-CN"/>
        </w:rPr>
        <w:t xml:space="preserve">  违约责任：</w:t>
      </w:r>
      <w:r>
        <w:rPr>
          <w:rFonts w:hint="eastAsia" w:ascii="宋体" w:hAnsi="宋体"/>
          <w:b/>
          <w:color w:val="000000"/>
          <w:sz w:val="24"/>
        </w:rPr>
        <w:t>因买受人存在未按约定签订《拍卖成交确认书》等拍卖文</w:t>
      </w:r>
      <w:r>
        <w:rPr>
          <w:rFonts w:hint="eastAsia" w:ascii="宋体" w:hAnsi="宋体"/>
          <w:b/>
          <w:bCs w:val="0"/>
          <w:color w:val="000000"/>
          <w:sz w:val="24"/>
        </w:rPr>
        <w:t>件或</w:t>
      </w:r>
      <w:r>
        <w:rPr>
          <w:rFonts w:hint="eastAsia" w:ascii="宋体" w:hAnsi="宋体" w:cs="宋体"/>
          <w:b/>
          <w:bCs w:val="0"/>
          <w:color w:val="000000"/>
          <w:kern w:val="0"/>
          <w:sz w:val="24"/>
        </w:rPr>
        <w:t>《</w:t>
      </w:r>
      <w:r>
        <w:rPr>
          <w:rFonts w:hint="eastAsia" w:ascii="宋体" w:hAnsi="宋体" w:cs="宋体"/>
          <w:b/>
          <w:bCs w:val="0"/>
          <w:color w:val="000000"/>
          <w:kern w:val="0"/>
          <w:sz w:val="24"/>
          <w:lang w:eastAsia="zh-CN"/>
        </w:rPr>
        <w:t>土石料买卖合同</w:t>
      </w:r>
      <w:r>
        <w:rPr>
          <w:rFonts w:hint="eastAsia" w:ascii="宋体" w:hAnsi="宋体" w:cs="宋体"/>
          <w:b/>
          <w:bCs w:val="0"/>
          <w:color w:val="000000"/>
          <w:kern w:val="0"/>
          <w:sz w:val="24"/>
        </w:rPr>
        <w:t>》</w:t>
      </w:r>
      <w:r>
        <w:rPr>
          <w:rFonts w:hint="eastAsia" w:ascii="宋体" w:hAnsi="宋体"/>
          <w:b/>
          <w:bCs w:val="0"/>
          <w:color w:val="000000"/>
          <w:sz w:val="24"/>
        </w:rPr>
        <w:t>、或未能按期足额支付本须知约定的所有款项等行为的，均视为买受</w:t>
      </w:r>
      <w:r>
        <w:rPr>
          <w:rFonts w:hint="eastAsia" w:ascii="宋体" w:hAnsi="宋体"/>
          <w:b/>
          <w:color w:val="000000"/>
          <w:sz w:val="24"/>
        </w:rPr>
        <w:t>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4124A09E">
      <w:pPr>
        <w:keepNext w:val="0"/>
        <w:keepLines w:val="0"/>
        <w:pageBreakBefore w:val="0"/>
        <w:widowControl w:val="0"/>
        <w:kinsoku/>
        <w:wordWrap/>
        <w:overflowPunct/>
        <w:topLinePunct w:val="0"/>
        <w:autoSpaceDE/>
        <w:autoSpaceDN/>
        <w:bidi w:val="0"/>
        <w:adjustRightInd/>
        <w:snapToGrid/>
        <w:spacing w:line="500" w:lineRule="exact"/>
        <w:ind w:firstLine="472" w:firstLineChars="197"/>
        <w:textAlignment w:val="auto"/>
        <w:rPr>
          <w:rFonts w:ascii="宋体" w:hAnsi="宋体"/>
          <w:bCs/>
          <w:color w:val="000000"/>
          <w:sz w:val="24"/>
        </w:rPr>
      </w:pPr>
      <w:r>
        <w:rPr>
          <w:rFonts w:hint="eastAsia" w:ascii="宋体" w:hAnsi="宋体"/>
          <w:bCs/>
          <w:color w:val="000000"/>
          <w:sz w:val="24"/>
        </w:rPr>
        <w:t>《拍卖法》第三十九条：买受人应当按照约定支付拍卖标的的价款，未按照约定支付价款的，应当承担违约责任，或者由拍卖人征得委托人的同意，将拍卖标的再行拍卖。</w:t>
      </w:r>
    </w:p>
    <w:p w14:paraId="2B9F8BE5">
      <w:pPr>
        <w:keepNext w:val="0"/>
        <w:keepLines w:val="0"/>
        <w:pageBreakBefore w:val="0"/>
        <w:widowControl w:val="0"/>
        <w:kinsoku/>
        <w:wordWrap/>
        <w:overflowPunct/>
        <w:topLinePunct w:val="0"/>
        <w:autoSpaceDE/>
        <w:autoSpaceDN/>
        <w:bidi w:val="0"/>
        <w:adjustRightInd/>
        <w:snapToGrid/>
        <w:spacing w:line="500" w:lineRule="exact"/>
        <w:ind w:firstLine="472" w:firstLineChars="197"/>
        <w:textAlignment w:val="auto"/>
        <w:rPr>
          <w:rFonts w:ascii="宋体" w:hAnsi="宋体"/>
          <w:bCs/>
          <w:color w:val="000000"/>
          <w:sz w:val="24"/>
        </w:rPr>
      </w:pPr>
      <w:r>
        <w:rPr>
          <w:rFonts w:hint="eastAsia" w:ascii="宋体" w:hAnsi="宋体"/>
          <w:bCs/>
          <w:color w:val="000000"/>
          <w:sz w:val="24"/>
        </w:rPr>
        <w:t>拍卖标的再行拍卖的，原买受人应当支付第一次拍卖中本人及委托人应当支付的佣金。再行拍卖的价款低于原拍卖价款的，原买受人应当补足差额。</w:t>
      </w:r>
    </w:p>
    <w:p w14:paraId="51FDEF59">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75" w:firstLineChars="197"/>
        <w:textAlignment w:val="auto"/>
        <w:rPr>
          <w:rFonts w:ascii="宋体" w:hAnsi="宋体" w:cs="宋体"/>
          <w:color w:val="000000"/>
          <w:kern w:val="0"/>
          <w:sz w:val="24"/>
        </w:rPr>
      </w:pPr>
      <w:r>
        <w:rPr>
          <w:rFonts w:hint="eastAsia" w:ascii="宋体" w:hAnsi="宋体"/>
          <w:b/>
          <w:color w:val="000000"/>
          <w:sz w:val="24"/>
        </w:rPr>
        <w:t xml:space="preserve"> </w:t>
      </w:r>
      <w:r>
        <w:rPr>
          <w:rFonts w:hint="eastAsia" w:ascii="宋体" w:hAnsi="宋体"/>
          <w:b w:val="0"/>
          <w:bCs/>
          <w:color w:val="000000"/>
          <w:sz w:val="24"/>
        </w:rPr>
        <w:t>标的物交付：签订《土石料买卖合同》后，根据工程实际开挖进度，由</w:t>
      </w:r>
      <w:r>
        <w:rPr>
          <w:rFonts w:hint="eastAsia" w:ascii="宋体" w:hAnsi="宋体"/>
          <w:b w:val="0"/>
          <w:bCs/>
          <w:color w:val="000000"/>
          <w:sz w:val="24"/>
          <w:lang w:eastAsia="zh-CN"/>
        </w:rPr>
        <w:t>委托人</w:t>
      </w:r>
      <w:r>
        <w:rPr>
          <w:rFonts w:hint="eastAsia" w:ascii="宋体" w:hAnsi="宋体"/>
          <w:b w:val="0"/>
          <w:bCs/>
          <w:color w:val="000000"/>
          <w:sz w:val="24"/>
        </w:rPr>
        <w:t>委托施工单位将标的物分批次交付给买受人。</w:t>
      </w:r>
    </w:p>
    <w:p w14:paraId="5ADD571F">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72" w:firstLineChars="197"/>
        <w:textAlignment w:val="auto"/>
        <w:rPr>
          <w:rFonts w:ascii="宋体" w:hAnsi="宋体" w:cs="宋体"/>
          <w:color w:val="000000"/>
          <w:kern w:val="0"/>
          <w:sz w:val="24"/>
        </w:rPr>
      </w:pPr>
      <w:r>
        <w:rPr>
          <w:rFonts w:hint="eastAsia" w:ascii="宋体" w:hAnsi="宋体"/>
          <w:b w:val="0"/>
          <w:bCs/>
          <w:color w:val="000000"/>
          <w:sz w:val="24"/>
          <w:lang w:val="en-US" w:eastAsia="zh-CN"/>
        </w:rPr>
        <w:t xml:space="preserve"> </w:t>
      </w:r>
      <w:r>
        <w:rPr>
          <w:rFonts w:hint="eastAsia" w:ascii="宋体" w:hAnsi="宋体"/>
          <w:b w:val="0"/>
          <w:bCs/>
          <w:color w:val="000000"/>
          <w:sz w:val="24"/>
        </w:rPr>
        <w:t>拍卖</w:t>
      </w:r>
      <w:r>
        <w:rPr>
          <w:rFonts w:hint="eastAsia" w:ascii="宋体" w:hAnsi="宋体" w:cs="宋体"/>
          <w:b w:val="0"/>
          <w:bCs/>
          <w:color w:val="000000"/>
          <w:kern w:val="0"/>
          <w:sz w:val="24"/>
        </w:rPr>
        <w:t>结果公告：</w:t>
      </w:r>
      <w:r>
        <w:rPr>
          <w:rFonts w:hint="eastAsia" w:ascii="宋体" w:hAnsi="宋体" w:cs="宋体"/>
          <w:color w:val="000000"/>
          <w:kern w:val="0"/>
          <w:sz w:val="24"/>
        </w:rPr>
        <w:t>《</w:t>
      </w:r>
      <w:r>
        <w:rPr>
          <w:rFonts w:hint="eastAsia" w:ascii="宋体" w:hAnsi="宋体" w:cs="宋体"/>
          <w:color w:val="000000"/>
          <w:kern w:val="0"/>
          <w:sz w:val="24"/>
          <w:lang w:eastAsia="zh-CN"/>
        </w:rPr>
        <w:t>土石料买卖合同</w:t>
      </w:r>
      <w:r>
        <w:rPr>
          <w:rFonts w:hint="eastAsia" w:ascii="宋体" w:hAnsi="宋体" w:cs="宋体"/>
          <w:color w:val="000000"/>
          <w:kern w:val="0"/>
          <w:sz w:val="24"/>
        </w:rPr>
        <w:t>》生效后的2个工作日内，由拍卖人将交易结果在</w:t>
      </w:r>
      <w:r>
        <w:rPr>
          <w:rFonts w:hint="eastAsia" w:ascii="宋体" w:hAnsi="宋体" w:cs="宋体"/>
          <w:color w:val="000000"/>
          <w:kern w:val="0"/>
          <w:sz w:val="24"/>
          <w:lang w:eastAsia="zh-CN"/>
        </w:rPr>
        <w:t>宁波市公共资源交易电子服务系统</w:t>
      </w:r>
      <w:r>
        <w:rPr>
          <w:rFonts w:hint="eastAsia" w:ascii="宋体" w:hAnsi="宋体" w:cs="宋体"/>
          <w:color w:val="000000"/>
          <w:kern w:val="0"/>
          <w:sz w:val="24"/>
          <w:lang w:val="en-US" w:eastAsia="zh-CN"/>
        </w:rPr>
        <w:t>(甬易阳光）</w:t>
      </w:r>
      <w:r>
        <w:rPr>
          <w:rFonts w:hint="eastAsia" w:ascii="宋体" w:hAnsi="宋体" w:cs="宋体"/>
          <w:color w:val="000000"/>
          <w:kern w:val="0"/>
          <w:sz w:val="24"/>
        </w:rPr>
        <w:t>公告5个工作日。</w:t>
      </w:r>
    </w:p>
    <w:p w14:paraId="495B16BF">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六</w:t>
      </w:r>
      <w:r>
        <w:rPr>
          <w:rFonts w:ascii="宋体" w:hAnsi="宋体" w:cs="宋体"/>
          <w:b/>
          <w:bCs/>
          <w:color w:val="000000"/>
          <w:kern w:val="0"/>
          <w:sz w:val="24"/>
        </w:rPr>
        <w:t>条</w:t>
      </w:r>
      <w:r>
        <w:rPr>
          <w:rFonts w:hint="eastAsia" w:ascii="宋体" w:hAnsi="宋体" w:cs="宋体"/>
          <w:b/>
          <w:bCs/>
          <w:color w:val="000000"/>
          <w:kern w:val="0"/>
          <w:sz w:val="24"/>
        </w:rPr>
        <w:t xml:space="preserve">  </w:t>
      </w:r>
      <w:r>
        <w:rPr>
          <w:rFonts w:hint="eastAsia" w:ascii="宋体" w:hAnsi="宋体" w:cs="宋体"/>
          <w:color w:val="000000"/>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000000"/>
          <w:kern w:val="0"/>
          <w:sz w:val="24"/>
          <w:lang w:eastAsia="zh-CN"/>
        </w:rPr>
        <w:t>土石料买卖合同</w:t>
      </w:r>
      <w:r>
        <w:rPr>
          <w:rFonts w:hint="eastAsia" w:ascii="宋体" w:hAnsi="宋体" w:cs="宋体"/>
          <w:color w:val="000000"/>
          <w:kern w:val="0"/>
          <w:sz w:val="24"/>
        </w:rPr>
        <w:t>》，造成的损失由买受人赔偿。</w:t>
      </w:r>
    </w:p>
    <w:p w14:paraId="0E4F1A7F">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ascii="宋体" w:hAnsi="宋体"/>
          <w:b/>
          <w:color w:val="000000"/>
          <w:sz w:val="28"/>
          <w:szCs w:val="28"/>
        </w:rPr>
      </w:pPr>
      <w:r>
        <w:rPr>
          <w:rFonts w:hint="eastAsia" w:ascii="宋体" w:hAnsi="宋体"/>
          <w:b/>
          <w:color w:val="000000"/>
          <w:sz w:val="28"/>
          <w:szCs w:val="28"/>
        </w:rPr>
        <w:t>附 则</w:t>
      </w:r>
    </w:p>
    <w:p w14:paraId="5F5DF83D">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七</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ascii="宋体" w:hAnsi="宋体" w:cs="宋体"/>
          <w:color w:val="000000"/>
          <w:kern w:val="0"/>
          <w:sz w:val="24"/>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kern w:val="0"/>
          <w:sz w:val="24"/>
        </w:rPr>
        <w:t>委托人</w:t>
      </w:r>
      <w:r>
        <w:rPr>
          <w:rFonts w:ascii="宋体" w:hAnsi="宋体" w:cs="宋体"/>
          <w:color w:val="000000"/>
          <w:kern w:val="0"/>
          <w:sz w:val="24"/>
        </w:rPr>
        <w:t>、拍卖人无涉。</w:t>
      </w:r>
    </w:p>
    <w:p w14:paraId="20956033">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八</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本须知解释权归本次拍卖活动的委托人、拍卖人所有</w:t>
      </w:r>
      <w:r>
        <w:rPr>
          <w:rFonts w:ascii="宋体" w:hAnsi="宋体" w:cs="宋体"/>
          <w:color w:val="000000"/>
          <w:kern w:val="0"/>
          <w:sz w:val="24"/>
        </w:rPr>
        <w:t>。</w:t>
      </w:r>
    </w:p>
    <w:p w14:paraId="6D997EA0">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hint="eastAsia" w:ascii="宋体" w:hAnsi="宋体" w:cs="宋体"/>
          <w:color w:val="000000"/>
          <w:kern w:val="0"/>
          <w:sz w:val="24"/>
        </w:rPr>
      </w:pPr>
      <w:r>
        <w:rPr>
          <w:rFonts w:hint="eastAsia" w:ascii="宋体" w:hAnsi="宋体" w:cs="宋体"/>
          <w:color w:val="000000"/>
          <w:kern w:val="0"/>
          <w:sz w:val="24"/>
        </w:rPr>
        <w:t xml:space="preserve"> </w:t>
      </w:r>
    </w:p>
    <w:p w14:paraId="4331866E">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ascii="宋体" w:hAnsi="宋体" w:cs="宋体"/>
          <w:color w:val="000000"/>
          <w:kern w:val="0"/>
          <w:sz w:val="24"/>
        </w:rPr>
      </w:pPr>
      <w:r>
        <w:rPr>
          <w:rFonts w:hint="eastAsia" w:ascii="宋体" w:hAnsi="宋体" w:cs="宋体"/>
          <w:color w:val="000000"/>
          <w:kern w:val="0"/>
          <w:sz w:val="24"/>
        </w:rPr>
        <w:t>宁波阳明拍卖有限公司</w:t>
      </w:r>
    </w:p>
    <w:p w14:paraId="7A35B0A9">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2025</w:t>
      </w:r>
      <w:r>
        <w:rPr>
          <w:rFonts w:hint="eastAsia" w:ascii="宋体" w:hAnsi="宋体" w:cs="宋体"/>
          <w:color w:val="000000"/>
          <w:kern w:val="0"/>
          <w:sz w:val="24"/>
        </w:rPr>
        <w:t>年</w:t>
      </w:r>
      <w:bookmarkStart w:id="0" w:name="车棚"/>
      <w:bookmarkEnd w:id="0"/>
      <w:r>
        <w:rPr>
          <w:rFonts w:hint="eastAsia" w:ascii="宋体" w:hAnsi="宋体" w:cs="宋体"/>
          <w:color w:val="000000"/>
          <w:kern w:val="0"/>
          <w:sz w:val="24"/>
          <w:lang w:val="en-US" w:eastAsia="zh-CN"/>
        </w:rPr>
        <w:t>7月3日</w:t>
      </w:r>
    </w:p>
    <w:p w14:paraId="029539AB">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附件：《土石料买卖合同（样本）》</w:t>
      </w:r>
    </w:p>
    <w:p w14:paraId="15D80080">
      <w:pPr>
        <w:pStyle w:val="2"/>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仿宋" w:hAnsi="仿宋" w:eastAsia="仿宋" w:cs="仿宋"/>
          <w:color w:val="000000" w:themeColor="text1"/>
          <w:sz w:val="44"/>
          <w:szCs w:val="44"/>
          <w:lang w:val="en-US" w:eastAsia="zh-CN"/>
          <w14:textFill>
            <w14:solidFill>
              <w14:schemeClr w14:val="tx1"/>
            </w14:solidFill>
          </w14:textFill>
        </w:rPr>
      </w:pPr>
    </w:p>
    <w:p w14:paraId="16675BEE">
      <w:pPr>
        <w:pStyle w:val="2"/>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仿宋" w:hAnsi="仿宋" w:eastAsia="仿宋" w:cs="仿宋"/>
          <w:color w:val="000000" w:themeColor="text1"/>
          <w:sz w:val="44"/>
          <w:szCs w:val="44"/>
          <w14:textFill>
            <w14:solidFill>
              <w14:schemeClr w14:val="tx1"/>
            </w14:solidFill>
          </w14:textFill>
        </w:rPr>
      </w:pPr>
      <w:r>
        <w:rPr>
          <w:rFonts w:hint="eastAsia" w:ascii="仿宋" w:hAnsi="仿宋" w:eastAsia="仿宋" w:cs="仿宋"/>
          <w:color w:val="000000" w:themeColor="text1"/>
          <w:sz w:val="44"/>
          <w:szCs w:val="44"/>
          <w:lang w:val="en-US" w:eastAsia="zh-CN"/>
          <w14:textFill>
            <w14:solidFill>
              <w14:schemeClr w14:val="tx1"/>
            </w14:solidFill>
          </w14:textFill>
        </w:rPr>
        <w:t>土石料</w:t>
      </w:r>
      <w:r>
        <w:rPr>
          <w:rFonts w:hint="eastAsia" w:ascii="仿宋" w:hAnsi="仿宋" w:eastAsia="仿宋" w:cs="仿宋"/>
          <w:color w:val="000000" w:themeColor="text1"/>
          <w:sz w:val="44"/>
          <w:szCs w:val="44"/>
          <w14:textFill>
            <w14:solidFill>
              <w14:schemeClr w14:val="tx1"/>
            </w14:solidFill>
          </w14:textFill>
        </w:rPr>
        <w:t>买卖合同（样本）</w:t>
      </w:r>
    </w:p>
    <w:p w14:paraId="7CF976A9">
      <w:pPr>
        <w:pStyle w:val="9"/>
        <w:pageBreakBefore w:val="0"/>
        <w:kinsoku/>
        <w:wordWrap/>
        <w:overflowPunct/>
        <w:topLinePunct w:val="0"/>
        <w:autoSpaceDE/>
        <w:autoSpaceDN/>
        <w:bidi w:val="0"/>
        <w:adjustRightInd/>
        <w:snapToGrid/>
        <w:spacing w:beforeAutospacing="0" w:afterLines="50" w:afterAutospacing="0" w:line="460" w:lineRule="exact"/>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合同编号：</w:t>
      </w:r>
    </w:p>
    <w:p w14:paraId="750096BC">
      <w:pPr>
        <w:pStyle w:val="9"/>
        <w:keepNext w:val="0"/>
        <w:keepLines w:val="0"/>
        <w:pageBreakBefore w:val="0"/>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转让人：</w:t>
      </w:r>
      <w:r>
        <w:rPr>
          <w:rFonts w:hint="eastAsia" w:ascii="仿宋" w:hAnsi="仿宋" w:eastAsia="仿宋" w:cs="仿宋"/>
          <w:color w:val="000000" w:themeColor="text1"/>
          <w:sz w:val="30"/>
          <w:szCs w:val="30"/>
          <w:u w:val="single"/>
          <w:lang w:val="en-US" w:eastAsia="zh-CN"/>
          <w14:textFill>
            <w14:solidFill>
              <w14:schemeClr w14:val="tx1"/>
            </w14:solidFill>
          </w14:textFill>
        </w:rPr>
        <w:t>余姚市城市建设投资发展有限公司</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（以下简称“甲方”）</w:t>
      </w:r>
    </w:p>
    <w:p w14:paraId="4186A14C">
      <w:pPr>
        <w:pStyle w:val="9"/>
        <w:keepNext w:val="0"/>
        <w:keepLines w:val="0"/>
        <w:pageBreakBefore w:val="0"/>
        <w:widowControl/>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受让人：</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（以下简称“乙方”）</w:t>
      </w:r>
    </w:p>
    <w:p w14:paraId="2512AC45">
      <w:pPr>
        <w:pStyle w:val="9"/>
        <w:keepNext w:val="0"/>
        <w:keepLines w:val="0"/>
        <w:pageBreakBefore w:val="0"/>
        <w:kinsoku/>
        <w:wordWrap/>
        <w:overflowPunct/>
        <w:topLinePunct w:val="0"/>
        <w:autoSpaceDE/>
        <w:autoSpaceDN/>
        <w:bidi w:val="0"/>
        <w:adjustRightInd/>
        <w:snapToGrid/>
        <w:spacing w:beforeAutospacing="0" w:afterAutospacing="0"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为了规范交易行为，保护双方合法权益，根据《中华人民共和国民法典》及有关法律法规，明确双方权利义务关系，保证正常交易程序，一致同意签订本合同，以资共同遵守。</w:t>
      </w:r>
    </w:p>
    <w:p w14:paraId="05C0E4B3">
      <w:pPr>
        <w:pStyle w:val="9"/>
        <w:keepNext w:val="0"/>
        <w:keepLines w:val="0"/>
        <w:pageBreakBefore w:val="0"/>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 xml:space="preserve"> 第一条 转让标的</w:t>
      </w:r>
    </w:p>
    <w:p w14:paraId="16AC062A">
      <w:pPr>
        <w:pStyle w:val="9"/>
        <w:keepNext w:val="0"/>
        <w:keepLines w:val="0"/>
        <w:pageBreakBefore w:val="0"/>
        <w:widowControl/>
        <w:kinsoku/>
        <w:wordWrap/>
        <w:overflowPunct/>
        <w:topLinePunct w:val="0"/>
        <w:autoSpaceDE/>
        <w:autoSpaceDN/>
        <w:bidi w:val="0"/>
        <w:adjustRightInd/>
        <w:snapToGrid/>
        <w:spacing w:beforeAutospacing="0" w:afterAutospacing="0" w:line="50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乙方通过</w:t>
      </w:r>
      <w:r>
        <w:rPr>
          <w:rFonts w:hint="eastAsia" w:ascii="仿宋" w:hAnsi="仿宋" w:eastAsia="仿宋" w:cs="仿宋"/>
          <w:color w:val="000000" w:themeColor="text1"/>
          <w:sz w:val="30"/>
          <w:szCs w:val="30"/>
          <w:lang w:eastAsia="zh-CN"/>
          <w14:textFill>
            <w14:solidFill>
              <w14:schemeClr w14:val="tx1"/>
            </w14:solidFill>
          </w14:textFill>
        </w:rPr>
        <w:t>拍卖</w:t>
      </w:r>
      <w:r>
        <w:rPr>
          <w:rFonts w:hint="eastAsia" w:ascii="仿宋" w:hAnsi="仿宋" w:eastAsia="仿宋" w:cs="仿宋"/>
          <w:color w:val="000000" w:themeColor="text1"/>
          <w:sz w:val="30"/>
          <w:szCs w:val="30"/>
          <w14:textFill>
            <w14:solidFill>
              <w14:schemeClr w14:val="tx1"/>
            </w14:solidFill>
          </w14:textFill>
        </w:rPr>
        <w:t>取得</w:t>
      </w:r>
      <w:r>
        <w:rPr>
          <w:rFonts w:hint="eastAsia" w:ascii="仿宋" w:hAnsi="仿宋" w:eastAsia="仿宋" w:cs="仿宋"/>
          <w:color w:val="000000" w:themeColor="text1"/>
          <w:sz w:val="30"/>
          <w:szCs w:val="30"/>
          <w:u w:val="single"/>
          <w:lang w:val="en-US" w:eastAsia="zh-CN"/>
          <w14:textFill>
            <w14:solidFill>
              <w14:schemeClr w14:val="tx1"/>
            </w14:solidFill>
          </w14:textFill>
        </w:rPr>
        <w:t>余姚市黄山未来社区（黄山西路北侧、开丰路两侧）地块工程多余土石料</w:t>
      </w:r>
      <w:r>
        <w:rPr>
          <w:rFonts w:hint="eastAsia" w:ascii="仿宋" w:hAnsi="仿宋" w:eastAsia="仿宋" w:cs="仿宋"/>
          <w:color w:val="000000" w:themeColor="text1"/>
          <w:sz w:val="30"/>
          <w:szCs w:val="30"/>
          <w14:textFill>
            <w14:solidFill>
              <w14:schemeClr w14:val="tx1"/>
            </w14:solidFill>
          </w14:textFill>
        </w:rPr>
        <w:t>（以下简称“标的物”）</w:t>
      </w:r>
      <w:r>
        <w:rPr>
          <w:rFonts w:hint="eastAsia" w:ascii="仿宋" w:hAnsi="仿宋" w:eastAsia="仿宋" w:cs="仿宋"/>
          <w:color w:val="000000" w:themeColor="text1"/>
          <w:sz w:val="30"/>
          <w:szCs w:val="30"/>
          <w:lang w:eastAsia="zh-CN"/>
          <w14:textFill>
            <w14:solidFill>
              <w14:schemeClr w14:val="tx1"/>
            </w14:solidFill>
          </w14:textFill>
        </w:rPr>
        <w:t>。土石料估算总量：154496立方米（约301880吨），其中残坡积土55826立方米（约105511吨），全风化角砾岩97067立方米（约193163吨），强风化角砾岩1603立方米（约3206吨）。项目具体情况详见附件。</w:t>
      </w:r>
    </w:p>
    <w:p w14:paraId="1CFC175A">
      <w:pPr>
        <w:keepNext w:val="0"/>
        <w:keepLines w:val="0"/>
        <w:pageBreakBefore w:val="0"/>
        <w:widowControl w:val="0"/>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拍卖成交价（即转让价格）均为裸价，不包含任何税、费及买受佣金。在提取过程中所产生的装卸费、场地堆放费、搬运费、运输费、生产管理成本、机械设备费、保险费等一切费用全部由乙方承担。此外，起拍成交价（即转让价格）也不包含乙方后续运输、加工、经营、销售土石料等过程所产生的各项税费（按现行相关规定缴纳）。</w:t>
      </w:r>
    </w:p>
    <w:p w14:paraId="6779B939">
      <w:pPr>
        <w:keepNext w:val="0"/>
        <w:keepLines w:val="0"/>
        <w:pageBreakBefore w:val="0"/>
        <w:widowControl w:val="0"/>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（三）</w:t>
      </w:r>
      <w:r>
        <w:rPr>
          <w:rFonts w:hint="eastAsia" w:ascii="仿宋" w:hAnsi="仿宋" w:eastAsia="仿宋" w:cs="仿宋"/>
          <w:color w:val="000000" w:themeColor="text1"/>
          <w:sz w:val="30"/>
          <w:szCs w:val="30"/>
          <w14:textFill>
            <w14:solidFill>
              <w14:schemeClr w14:val="tx1"/>
            </w14:solidFill>
          </w14:textFill>
        </w:rPr>
        <w:t>标的物的数量、重量、品质均为设计估算</w:t>
      </w:r>
      <w:r>
        <w:rPr>
          <w:rFonts w:hint="eastAsia" w:ascii="仿宋" w:hAnsi="仿宋" w:eastAsia="仿宋" w:cs="仿宋"/>
          <w:color w:val="000000" w:themeColor="text1"/>
          <w:sz w:val="30"/>
          <w:szCs w:val="30"/>
          <w:lang w:val="en-US" w:eastAsia="zh-CN"/>
          <w14:textFill>
            <w14:solidFill>
              <w14:schemeClr w14:val="tx1"/>
            </w14:solidFill>
          </w14:textFill>
        </w:rPr>
        <w:t>，根据《余姚市黄山未来社区（黄山西路北侧、开丰路两侧）地块开挖土石方量估算报告》编制，具有不确定性，乙方在拍卖前已认真仔细了解标的物的实际情况，清楚可能存在的各项风险。标的物的</w:t>
      </w:r>
      <w:r>
        <w:rPr>
          <w:rFonts w:hint="eastAsia" w:ascii="仿宋" w:hAnsi="仿宋" w:eastAsia="仿宋" w:cs="仿宋"/>
          <w:color w:val="000000" w:themeColor="text1"/>
          <w:sz w:val="30"/>
          <w:szCs w:val="30"/>
          <w14:textFill>
            <w14:solidFill>
              <w14:schemeClr w14:val="tx1"/>
            </w14:solidFill>
          </w14:textFill>
        </w:rPr>
        <w:t>数量、重量、品质按实际交付为准（交付时不再过磅），如实际交付有差距，则不进行拍卖成交款及买受佣金的退补，相应风险由</w:t>
      </w:r>
      <w:r>
        <w:rPr>
          <w:rFonts w:hint="eastAsia" w:ascii="仿宋" w:hAnsi="仿宋" w:eastAsia="仿宋" w:cs="仿宋"/>
          <w:color w:val="000000" w:themeColor="text1"/>
          <w:sz w:val="30"/>
          <w:szCs w:val="30"/>
          <w:lang w:eastAsia="zh-CN"/>
          <w14:textFill>
            <w14:solidFill>
              <w14:schemeClr w14:val="tx1"/>
            </w14:solidFill>
          </w14:textFill>
        </w:rPr>
        <w:t>乙方</w:t>
      </w:r>
      <w:r>
        <w:rPr>
          <w:rFonts w:hint="eastAsia" w:ascii="仿宋" w:hAnsi="仿宋" w:eastAsia="仿宋" w:cs="仿宋"/>
          <w:color w:val="000000" w:themeColor="text1"/>
          <w:sz w:val="30"/>
          <w:szCs w:val="30"/>
          <w14:textFill>
            <w14:solidFill>
              <w14:schemeClr w14:val="tx1"/>
            </w14:solidFill>
          </w14:textFill>
        </w:rPr>
        <w:t>自行承担。</w:t>
      </w:r>
    </w:p>
    <w:p w14:paraId="3248251E">
      <w:pPr>
        <w:keepNext w:val="0"/>
        <w:keepLines w:val="0"/>
        <w:pageBreakBefore w:val="0"/>
        <w:widowControl w:val="0"/>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四）土石料竞买和销售投资属于风险投资，标的物根据工程实际进度进行提取，提取周期较长，土石料市场价格可能会受市场环境和政策等因素的影响而上下波动，存在不可预见的自然因素变化和政策法规调整的风险，乙方已提前考察与现场踏勘，并详细了解当地市场行情，充分考虑上述因素可能造成的投资风险，并自愿承担由此造成的投资风险。</w:t>
      </w:r>
    </w:p>
    <w:p w14:paraId="6EB152CC">
      <w:pPr>
        <w:pStyle w:val="9"/>
        <w:keepNext w:val="0"/>
        <w:keepLines w:val="0"/>
        <w:pageBreakBefore w:val="0"/>
        <w:widowControl/>
        <w:kinsoku/>
        <w:wordWrap/>
        <w:overflowPunct/>
        <w:topLinePunct w:val="0"/>
        <w:autoSpaceDE/>
        <w:autoSpaceDN/>
        <w:bidi w:val="0"/>
        <w:adjustRightInd/>
        <w:snapToGrid/>
        <w:spacing w:beforeAutospacing="0" w:afterAutospacing="0" w:line="50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（五）</w:t>
      </w:r>
      <w:r>
        <w:rPr>
          <w:rFonts w:hint="eastAsia" w:ascii="仿宋" w:hAnsi="仿宋" w:eastAsia="仿宋" w:cs="仿宋"/>
          <w:color w:val="000000" w:themeColor="text1"/>
          <w:sz w:val="30"/>
          <w:szCs w:val="30"/>
          <w:lang w:val="en-US" w:eastAsia="zh-CN"/>
          <w14:textFill>
            <w14:solidFill>
              <w14:schemeClr w14:val="tx1"/>
            </w14:solidFill>
          </w14:textFill>
        </w:rPr>
        <w:t>交付期限：拍卖成交后180日历天，具体以工程实际开挖进度为准。</w:t>
      </w:r>
    </w:p>
    <w:p w14:paraId="0CA7657A">
      <w:pPr>
        <w:pStyle w:val="9"/>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2" w:firstLineChars="20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第二条 转让价格</w:t>
      </w:r>
      <w:r>
        <w:rPr>
          <w:rFonts w:hint="eastAsia" w:ascii="仿宋" w:hAnsi="仿宋" w:eastAsia="仿宋" w:cs="仿宋"/>
          <w:b/>
          <w:bCs/>
          <w:color w:val="000000" w:themeColor="text1"/>
          <w:sz w:val="30"/>
          <w:szCs w:val="30"/>
          <w:lang w:eastAsia="zh-CN"/>
          <w14:textFill>
            <w14:solidFill>
              <w14:schemeClr w14:val="tx1"/>
            </w14:solidFill>
          </w14:textFill>
        </w:rPr>
        <w:t>、履约保证金等费用</w:t>
      </w:r>
      <w:r>
        <w:rPr>
          <w:rFonts w:hint="eastAsia" w:ascii="仿宋" w:hAnsi="仿宋" w:eastAsia="仿宋" w:cs="仿宋"/>
          <w:b/>
          <w:bCs/>
          <w:color w:val="000000" w:themeColor="text1"/>
          <w:sz w:val="30"/>
          <w:szCs w:val="30"/>
          <w14:textFill>
            <w14:solidFill>
              <w14:schemeClr w14:val="tx1"/>
            </w14:solidFill>
          </w14:textFill>
        </w:rPr>
        <w:t>及</w:t>
      </w:r>
      <w:r>
        <w:rPr>
          <w:rFonts w:hint="eastAsia" w:ascii="仿宋" w:hAnsi="仿宋" w:eastAsia="仿宋" w:cs="仿宋"/>
          <w:b/>
          <w:bCs/>
          <w:color w:val="000000" w:themeColor="text1"/>
          <w:sz w:val="30"/>
          <w:szCs w:val="30"/>
          <w:lang w:eastAsia="zh-CN"/>
          <w14:textFill>
            <w14:solidFill>
              <w14:schemeClr w14:val="tx1"/>
            </w14:solidFill>
          </w14:textFill>
        </w:rPr>
        <w:t>支付方式</w:t>
      </w:r>
    </w:p>
    <w:p w14:paraId="034605A4">
      <w:pPr>
        <w:pStyle w:val="9"/>
        <w:keepNext w:val="0"/>
        <w:keepLines w:val="0"/>
        <w:pageBreakBefore w:val="0"/>
        <w:kinsoku/>
        <w:wordWrap/>
        <w:overflowPunct/>
        <w:topLinePunct w:val="0"/>
        <w:autoSpaceDE/>
        <w:autoSpaceDN/>
        <w:bidi w:val="0"/>
        <w:adjustRightInd/>
        <w:snapToGrid/>
        <w:spacing w:beforeAutospacing="0" w:afterAutospacing="0" w:line="50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本次</w:t>
      </w:r>
      <w:r>
        <w:rPr>
          <w:rFonts w:hint="eastAsia" w:ascii="仿宋" w:hAnsi="仿宋" w:eastAsia="仿宋" w:cs="仿宋"/>
          <w:b/>
          <w:bCs/>
          <w:color w:val="000000" w:themeColor="text1"/>
          <w:sz w:val="30"/>
          <w:szCs w:val="30"/>
          <w14:textFill>
            <w14:solidFill>
              <w14:schemeClr w14:val="tx1"/>
            </w14:solidFill>
          </w14:textFill>
        </w:rPr>
        <w:t>转让价格</w:t>
      </w:r>
      <w:r>
        <w:rPr>
          <w:rFonts w:hint="eastAsia" w:ascii="仿宋" w:hAnsi="仿宋" w:eastAsia="仿宋" w:cs="仿宋"/>
          <w:color w:val="000000" w:themeColor="text1"/>
          <w:sz w:val="30"/>
          <w:szCs w:val="30"/>
          <w14:textFill>
            <w14:solidFill>
              <w14:schemeClr w14:val="tx1"/>
            </w14:solidFill>
          </w14:textFill>
        </w:rPr>
        <w:t>为人民币</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u w:val="none"/>
          <w14:textFill>
            <w14:solidFill>
              <w14:schemeClr w14:val="tx1"/>
            </w14:solidFill>
          </w14:textFill>
        </w:rPr>
        <w:t>元</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大写</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14:paraId="2DEE6042">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14:textFill>
            <w14:solidFill>
              <w14:schemeClr w14:val="tx1"/>
            </w14:solidFill>
          </w14:textFill>
        </w:rPr>
        <w:t>元整</w:t>
      </w:r>
      <w:r>
        <w:rPr>
          <w:rFonts w:hint="eastAsia" w:ascii="仿宋" w:hAnsi="仿宋" w:eastAsia="仿宋" w:cs="仿宋"/>
          <w:color w:val="000000" w:themeColor="text1"/>
          <w:sz w:val="30"/>
          <w:szCs w:val="30"/>
          <w:lang w:eastAsia="zh-CN"/>
          <w14:textFill>
            <w14:solidFill>
              <w14:schemeClr w14:val="tx1"/>
            </w14:solidFill>
          </w14:textFill>
        </w:rPr>
        <w:t>。乙方已于</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年</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月</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日前按约定按时足额付清款项；</w:t>
      </w:r>
    </w:p>
    <w:p w14:paraId="5057B0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default"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（二）签订本合同前，乙方已向甲方指定账户交纳</w:t>
      </w:r>
      <w:r>
        <w:rPr>
          <w:rFonts w:hint="eastAsia" w:ascii="仿宋" w:hAnsi="仿宋" w:eastAsia="仿宋" w:cs="仿宋"/>
          <w:b/>
          <w:bCs/>
          <w:color w:val="000000" w:themeColor="text1"/>
          <w:sz w:val="30"/>
          <w:szCs w:val="30"/>
          <w:lang w:val="en-US" w:eastAsia="zh-CN"/>
          <w14:textFill>
            <w14:solidFill>
              <w14:schemeClr w14:val="tx1"/>
            </w14:solidFill>
          </w14:textFill>
        </w:rPr>
        <w:t>履约保证金</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u w:val="none"/>
          <w14:textFill>
            <w14:solidFill>
              <w14:schemeClr w14:val="tx1"/>
            </w14:solidFill>
          </w14:textFill>
        </w:rPr>
        <w:t>元</w:t>
      </w:r>
      <w:r>
        <w:rPr>
          <w:rFonts w:hint="eastAsia" w:ascii="仿宋" w:hAnsi="仿宋" w:eastAsia="仿宋" w:cs="仿宋"/>
          <w:b/>
          <w:bCs/>
          <w:color w:val="000000" w:themeColor="text1"/>
          <w:sz w:val="30"/>
          <w:szCs w:val="30"/>
          <w:lang w:val="en-US" w:eastAsia="zh-CN"/>
          <w14:textFill>
            <w14:solidFill>
              <w14:schemeClr w14:val="tx1"/>
            </w14:solidFill>
          </w14:textFill>
        </w:rPr>
        <w:t>【按转让价格的30%收取（四舍五入，整取到千位）】。</w:t>
      </w:r>
      <w:r>
        <w:rPr>
          <w:rFonts w:hint="eastAsia" w:ascii="仿宋" w:hAnsi="仿宋" w:eastAsia="仿宋" w:cs="仿宋"/>
          <w:b w:val="0"/>
          <w:bCs w:val="0"/>
          <w:color w:val="000000" w:themeColor="text1"/>
          <w:sz w:val="30"/>
          <w:szCs w:val="30"/>
          <w:lang w:val="en-US" w:eastAsia="zh-CN"/>
          <w14:textFill>
            <w14:solidFill>
              <w14:schemeClr w14:val="tx1"/>
            </w14:solidFill>
          </w14:textFill>
        </w:rPr>
        <w:t>履约保证金收取后，甲方应向乙方开具收款凭证。履约保证金不足时，乙方须在接甲方通知后3个工作日内补足。待标的物交付完毕且确认双方无纠纷，由甲方一次性退还给乙方（按银行同期活期存款利率计息）。</w:t>
      </w:r>
    </w:p>
    <w:p w14:paraId="59550882">
      <w:pPr>
        <w:pStyle w:val="9"/>
        <w:keepNext w:val="0"/>
        <w:keepLines w:val="0"/>
        <w:pageBreakBefore w:val="0"/>
        <w:kinsoku/>
        <w:wordWrap/>
        <w:overflowPunct/>
        <w:topLinePunct w:val="0"/>
        <w:autoSpaceDE/>
        <w:autoSpaceDN/>
        <w:bidi w:val="0"/>
        <w:adjustRightInd/>
        <w:snapToGrid/>
        <w:spacing w:beforeAutospacing="0" w:afterAutospacing="0" w:line="500" w:lineRule="exact"/>
        <w:ind w:firstLine="0" w:firstLineChars="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lang w:eastAsia="zh-CN"/>
          <w14:textFill>
            <w14:solidFill>
              <w14:schemeClr w14:val="tx1"/>
            </w14:solidFill>
          </w14:textFill>
        </w:rPr>
        <w:t>第三条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标的物交付</w:t>
      </w:r>
    </w:p>
    <w:p w14:paraId="663555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（一）本合同签订后，根据工程实际开挖进度，由甲方委托施工单位将标的物分批次交付给乙方。</w:t>
      </w:r>
    </w:p>
    <w:p w14:paraId="4C554F86">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二）乙方须根据施工进度取料，每次须在接到施工单位开挖通知后48小时内完成土石料的清运，逾期视为自动放弃，甲方有权按废弃物予以处理，相关处置费用由乙方承担（从履约保证金中扣除）。上述情况超过3次，甲方有权提前终止合同，且履约保证金不予退还。施工单位在临时堆场将标的物分批交付于乙方，进入临时堆场后的土石料由乙方自行看管，甲方不承担看管义务，如发生盗窃、丢失等问题，相应风险由乙方自行承担，与甲方无关。标的物接收周期同施工周期，乙方须确保及时提取标的物，以免影响项目施工进度。然而，甲方不对提取标的物的具体时间、单次数量及总次数作出保证，乙方应对此有充分认知，并承诺不因此向甲方提出异议或要求赔偿。</w:t>
      </w:r>
    </w:p>
    <w:p w14:paraId="492242E9">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450" w:firstLineChars="15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如遇特殊情况无法及时清运，乙方必须提前征得甲方的书面同意。</w:t>
      </w:r>
    </w:p>
    <w:p w14:paraId="5BAD6873">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452" w:firstLineChars="15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特别约定</w:t>
      </w:r>
    </w:p>
    <w:p w14:paraId="479A7E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一）乙方竞得标的物后，不得另行转包或违法分包，如发现此类情况，甲方有权收回标的物，对乙方作违约处理，所缴纳的履约保证金不予退还，扣除履约保证金仍不足以弥补对甲方造成的损失，乙方还需赔偿甲方的相应损失。由此产生的经济损失及法律风险均由乙方自行承担。</w:t>
      </w:r>
    </w:p>
    <w:p w14:paraId="7E43B1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（二）乙方须遵守相关法律法规，并依据环卫、环保、路政、 交警等部门规定，自行办理清运相关手续并承担费用，使用报备车辆，按指定线路进行运输。乙方在清运期间不得影响周边居民、企业的正常生活及生产，确保道路通畅，并应针对扬尘、交通事故、道路破损、噪声、震动导致房屋开裂等问题采取相应措施。若因乙方行为导致影响、危害人身安全或财产损失等后果，相应的责任和费用由乙方自行承担，与甲方无涉。</w:t>
      </w:r>
    </w:p>
    <w:p w14:paraId="2618813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三）工程多余土石料按照已有的施工规范及批准施工方案进行开挖。土石料在开挖、爆破、装卸、运输、堆砌、筛选等环节中可能混杂并降低品质，相关风险由乙方自负，且乙方无权拒收标的物、向甲方索赔或提出新的开采建议。</w:t>
      </w:r>
    </w:p>
    <w:p w14:paraId="46E2271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四）乙方在履约期间，须无条件自行承担各类费用及安全环保责任（包括但不限于装卸、运输、安全事故、各类纠纷、税费等）。乙方须设置冲洗设备和设置，保持环境清洁，不污染路面，如有环境污染问题，移交环保部门和交通综合执法部门处理，相应的责任和费用全部由乙方承担,甲方有权从履约保证金中予以扣除。</w:t>
      </w:r>
    </w:p>
    <w:p w14:paraId="5B093A4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五）乙方使用的作业机械及运输车辆须事先向甲方进行备案，并获得甲方的审批同意，否则不得进行标的物提取。临时堆场内，乙方的作业机械、提货车辆及操作人员均须服从施工单位与监理单位的统一管理。乙方的车辆和作业机械应在甲方指定的位置装卸土石料，并遵守施工单位管理人员的现场指挥。乙方严禁进入项目施工区域，不得干扰余姚市黄山未来社区（黄山西路北侧、开丰路两侧）地块工程的施工活动，且不得占用施工通道。</w:t>
      </w:r>
    </w:p>
    <w:p w14:paraId="4808A3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六）乙方必须按规定线路运输，运输方案须经交警、路政等部门同意后方可实施。提货期间，乙方需配备工作人员做好交通指挥和车辆调度等工作，相关工作人员费用由乙方自理。因乙方原因导致交通拥堵的，相应的责任和费用均由乙方承担，与甲方无涉。</w:t>
      </w:r>
    </w:p>
    <w:p w14:paraId="621FDFE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七）为确保土石方提取运输过程安全有序，乙方应当向属地保险机构购买该过程的安全生产责任险，从业人员的施工人员意外险和工伤保险，运输车辆的交强险、第三者责任保险（不低于200万），作业设备的机械设备险。如发生安全事故，所造成的一切损失由乙方自行承担，与甲方无涉。若发生重大安全事故或人员伤亡，乙方应立即采取必要措施抢救伤员，防止事态扩大，减少损失，并即刻通知甲方及相关部门，相关费用由乙方承担。</w:t>
      </w:r>
    </w:p>
    <w:p w14:paraId="50BC42C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八）因提取运输导致道路、周边房屋、管线等损坏的，乙方应立即做好临时安全措施，且及时做好修复工作，因修复、赔偿产生的一切费用由乙方承担。若乙方未及时修复或赔付，甲方有权代为进行，相关费用将从乙方的履约保证金中直接扣除。待提取完毕后30日内，乙方需对运输线路上的道路进行全面维修，确保其恢复至原状，所有修复费用均由乙方承担。经甲方验收合格后，方可退还保证金。</w:t>
      </w:r>
    </w:p>
    <w:p w14:paraId="520DF32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九）在履约期间，若乙方被第三方投诉或诉讼，乙方须自行妥善处理；若因此产生不良影响及负面社会舆论，将视乙方为违约，甲方有权解除合同，所缴纳的履约保证金概不退还。扣除履约保证金仍不足以弥补对甲方造成的损失，乙方还需赔偿甲方的相应损失。由此产生的经济损失及法律风险均由乙方自行承担。</w:t>
      </w:r>
    </w:p>
    <w:p w14:paraId="1C04B2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0" w:firstLineChars="15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十）如在工程实际需求或不可抗力因素启动设计变更时，对原调查与设计方案进行规范调整，导致标的物数量发生变化的，甲方将对拍卖成交款进行多退少补处理[即具体金额按公式“拍卖成交款÷土石料估算量×（土石料估算量－项目变更后土石料估算量）”结算]。乙方需无条件接受此调整，并在收到甲方书面通知后30日内完成补足或退还。</w:t>
      </w:r>
    </w:p>
    <w:p w14:paraId="39BD29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第五条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双方</w:t>
      </w:r>
      <w:r>
        <w:rPr>
          <w:rFonts w:hint="eastAsia" w:ascii="仿宋" w:hAnsi="仿宋" w:eastAsia="仿宋" w:cs="仿宋"/>
          <w:b/>
          <w:bCs/>
          <w:color w:val="000000" w:themeColor="text1"/>
          <w:sz w:val="30"/>
          <w:szCs w:val="30"/>
          <w:lang w:eastAsia="zh-CN"/>
          <w14:textFill>
            <w14:solidFill>
              <w14:schemeClr w14:val="tx1"/>
            </w14:solidFill>
          </w14:textFill>
        </w:rPr>
        <w:t>的</w:t>
      </w:r>
      <w:r>
        <w:rPr>
          <w:rFonts w:hint="eastAsia" w:ascii="仿宋" w:hAnsi="仿宋" w:eastAsia="仿宋" w:cs="仿宋"/>
          <w:b/>
          <w:bCs/>
          <w:color w:val="000000" w:themeColor="text1"/>
          <w:sz w:val="30"/>
          <w:szCs w:val="30"/>
          <w14:textFill>
            <w14:solidFill>
              <w14:schemeClr w14:val="tx1"/>
            </w14:solidFill>
          </w14:textFill>
        </w:rPr>
        <w:t>权利和义务</w:t>
      </w:r>
    </w:p>
    <w:p w14:paraId="0DD32E55">
      <w:pPr>
        <w:pStyle w:val="3"/>
        <w:keepNext/>
        <w:keepLines/>
        <w:pageBreakBefore w:val="0"/>
        <w:widowControl w:val="0"/>
        <w:kinsoku/>
        <w:wordWrap/>
        <w:overflowPunct/>
        <w:topLinePunct w:val="0"/>
        <w:autoSpaceDE/>
        <w:autoSpaceDN/>
        <w:bidi w:val="0"/>
        <w:adjustRightInd/>
        <w:snapToGrid/>
        <w:spacing w:before="0" w:after="0" w:line="50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（一）甲方的权利和义务</w:t>
      </w:r>
    </w:p>
    <w:p w14:paraId="168BD5D3">
      <w:pPr>
        <w:pStyle w:val="3"/>
        <w:pageBreakBefore w:val="0"/>
        <w:widowControl w:val="0"/>
        <w:kinsoku/>
        <w:wordWrap/>
        <w:overflowPunct/>
        <w:topLinePunct w:val="0"/>
        <w:autoSpaceDE/>
        <w:autoSpaceDN/>
        <w:bidi w:val="0"/>
        <w:adjustRightInd/>
        <w:snapToGrid/>
        <w:spacing w:before="0" w:after="0" w:line="50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w:t>
      </w:r>
      <w:r>
        <w:rPr>
          <w:rFonts w:hint="eastAsia" w:ascii="仿宋" w:hAnsi="仿宋" w:eastAsia="仿宋" w:cs="仿宋"/>
          <w:b w:val="0"/>
          <w:bCs w:val="0"/>
          <w:color w:val="000000" w:themeColor="text1"/>
          <w:sz w:val="30"/>
          <w:szCs w:val="30"/>
          <w14:textFill>
            <w14:solidFill>
              <w14:schemeClr w14:val="tx1"/>
            </w14:solidFill>
          </w14:textFill>
        </w:rPr>
        <w:t>甲方应保证对转让标的物享有所有权或处置权。</w:t>
      </w:r>
    </w:p>
    <w:p w14:paraId="6F036404">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、甲方对乙方清运行为有监督管理的权利。</w:t>
      </w:r>
    </w:p>
    <w:p w14:paraId="2044C86E">
      <w:pPr>
        <w:pStyle w:val="3"/>
        <w:keepNext/>
        <w:keepLines/>
        <w:pageBreakBefore w:val="0"/>
        <w:widowControl w:val="0"/>
        <w:kinsoku/>
        <w:wordWrap/>
        <w:overflowPunct/>
        <w:topLinePunct w:val="0"/>
        <w:autoSpaceDE/>
        <w:autoSpaceDN/>
        <w:bidi w:val="0"/>
        <w:adjustRightInd/>
        <w:snapToGrid/>
        <w:spacing w:before="0" w:after="0" w:line="50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（二）乙方的权利和义务</w:t>
      </w:r>
    </w:p>
    <w:p w14:paraId="31235176">
      <w:pPr>
        <w:pageBreakBefore w:val="0"/>
        <w:widowControl w:val="0"/>
        <w:kinsoku/>
        <w:wordWrap/>
        <w:overflowPunct/>
        <w:topLinePunct w:val="0"/>
        <w:autoSpaceDE/>
        <w:autoSpaceDN/>
        <w:bidi w:val="0"/>
        <w:adjustRightInd/>
        <w:snapToGrid/>
        <w:spacing w:line="500" w:lineRule="exact"/>
        <w:ind w:firstLine="6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1、乙方应按照约定时间足额支付转让款、履约保证金等款项。</w:t>
      </w:r>
    </w:p>
    <w:p w14:paraId="110FD78A">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2、乙方根据本合同第三条、第四条的约定享有相应权利并履行相关义务。</w:t>
      </w:r>
    </w:p>
    <w:p w14:paraId="55AD798F">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 xml:space="preserve">    第</w:t>
      </w:r>
      <w:r>
        <w:rPr>
          <w:rFonts w:hint="eastAsia" w:ascii="仿宋" w:hAnsi="仿宋" w:eastAsia="仿宋" w:cs="仿宋"/>
          <w:b/>
          <w:bCs/>
          <w:color w:val="000000" w:themeColor="text1"/>
          <w:kern w:val="0"/>
          <w:sz w:val="30"/>
          <w:szCs w:val="30"/>
          <w:lang w:eastAsia="zh-CN"/>
          <w14:textFill>
            <w14:solidFill>
              <w14:schemeClr w14:val="tx1"/>
            </w14:solidFill>
          </w14:textFill>
        </w:rPr>
        <w:t>六</w:t>
      </w:r>
      <w:r>
        <w:rPr>
          <w:rFonts w:hint="eastAsia" w:ascii="仿宋" w:hAnsi="仿宋" w:eastAsia="仿宋" w:cs="仿宋"/>
          <w:b/>
          <w:bCs/>
          <w:color w:val="000000" w:themeColor="text1"/>
          <w:kern w:val="0"/>
          <w:sz w:val="30"/>
          <w:szCs w:val="30"/>
          <w14:textFill>
            <w14:solidFill>
              <w14:schemeClr w14:val="tx1"/>
            </w14:solidFill>
          </w14:textFill>
        </w:rPr>
        <w:t>条 违约责任</w:t>
      </w:r>
    </w:p>
    <w:p w14:paraId="40BA2D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（一）乙方出现下列情形之一的，</w:t>
      </w:r>
      <w:r>
        <w:rPr>
          <w:rFonts w:hint="eastAsia" w:ascii="仿宋" w:hAnsi="仿宋" w:eastAsia="仿宋" w:cs="仿宋"/>
          <w:color w:val="000000" w:themeColor="text1"/>
          <w:sz w:val="30"/>
          <w:szCs w:val="30"/>
          <w:lang w:eastAsia="zh-CN"/>
          <w14:textFill>
            <w14:solidFill>
              <w14:schemeClr w14:val="tx1"/>
            </w14:solidFill>
          </w14:textFill>
        </w:rPr>
        <w:t>属违约，</w:t>
      </w:r>
      <w:r>
        <w:rPr>
          <w:rFonts w:hint="eastAsia" w:ascii="仿宋" w:hAnsi="仿宋" w:eastAsia="仿宋" w:cs="仿宋"/>
          <w:color w:val="000000" w:themeColor="text1"/>
          <w:sz w:val="30"/>
          <w:szCs w:val="30"/>
          <w14:textFill>
            <w14:solidFill>
              <w14:schemeClr w14:val="tx1"/>
            </w14:solidFill>
          </w14:textFill>
        </w:rPr>
        <w:t>甲方有权解除本合同</w:t>
      </w:r>
      <w:r>
        <w:rPr>
          <w:rFonts w:hint="eastAsia" w:ascii="仿宋" w:hAnsi="仿宋" w:eastAsia="仿宋" w:cs="仿宋"/>
          <w:color w:val="000000" w:themeColor="text1"/>
          <w:sz w:val="30"/>
          <w:szCs w:val="30"/>
          <w:lang w:eastAsia="zh-CN"/>
          <w14:textFill>
            <w14:solidFill>
              <w14:schemeClr w14:val="tx1"/>
            </w14:solidFill>
          </w14:textFill>
        </w:rPr>
        <w:t>，同时</w:t>
      </w:r>
      <w:r>
        <w:rPr>
          <w:rFonts w:hint="eastAsia" w:ascii="仿宋" w:hAnsi="仿宋" w:eastAsia="仿宋" w:cs="仿宋"/>
          <w:color w:val="000000" w:themeColor="text1"/>
          <w:sz w:val="30"/>
          <w:szCs w:val="30"/>
          <w14:textFill>
            <w14:solidFill>
              <w14:schemeClr w14:val="tx1"/>
            </w14:solidFill>
          </w14:textFill>
        </w:rPr>
        <w:t>不予退还</w:t>
      </w:r>
      <w:r>
        <w:rPr>
          <w:rFonts w:hint="eastAsia" w:ascii="仿宋" w:hAnsi="仿宋" w:eastAsia="仿宋" w:cs="仿宋"/>
          <w:color w:val="000000" w:themeColor="text1"/>
          <w:sz w:val="30"/>
          <w:szCs w:val="30"/>
          <w:lang w:eastAsia="zh-CN"/>
          <w14:textFill>
            <w14:solidFill>
              <w14:schemeClr w14:val="tx1"/>
            </w14:solidFill>
          </w14:textFill>
        </w:rPr>
        <w:t>转让价款和履约保证金</w:t>
      </w:r>
      <w:r>
        <w:rPr>
          <w:rFonts w:hint="eastAsia" w:ascii="仿宋" w:hAnsi="仿宋" w:eastAsia="仿宋" w:cs="仿宋"/>
          <w:color w:val="000000" w:themeColor="text1"/>
          <w:sz w:val="30"/>
          <w:szCs w:val="30"/>
          <w14:textFill>
            <w14:solidFill>
              <w14:schemeClr w14:val="tx1"/>
            </w14:solidFill>
          </w14:textFill>
        </w:rPr>
        <w:t>，且乙方</w:t>
      </w:r>
      <w:r>
        <w:rPr>
          <w:rFonts w:hint="eastAsia" w:ascii="仿宋" w:hAnsi="仿宋" w:eastAsia="仿宋" w:cs="仿宋"/>
          <w:color w:val="000000" w:themeColor="text1"/>
          <w:sz w:val="30"/>
          <w:szCs w:val="30"/>
          <w:lang w:eastAsia="zh-CN"/>
          <w14:textFill>
            <w14:solidFill>
              <w14:schemeClr w14:val="tx1"/>
            </w14:solidFill>
          </w14:textFill>
        </w:rPr>
        <w:t>丧失继续取得土石料的权利，并承担</w:t>
      </w:r>
      <w:r>
        <w:rPr>
          <w:rFonts w:hint="eastAsia" w:ascii="仿宋" w:hAnsi="仿宋" w:eastAsia="仿宋" w:cs="仿宋"/>
          <w:color w:val="000000" w:themeColor="text1"/>
          <w:sz w:val="30"/>
          <w:szCs w:val="30"/>
          <w14:textFill>
            <w14:solidFill>
              <w14:schemeClr w14:val="tx1"/>
            </w14:solidFill>
          </w14:textFill>
        </w:rPr>
        <w:t>甲方的一切损失：</w:t>
      </w:r>
    </w:p>
    <w:p w14:paraId="25EF1D13">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1、与施工</w:t>
      </w:r>
      <w:r>
        <w:rPr>
          <w:rFonts w:hint="eastAsia" w:ascii="仿宋" w:hAnsi="仿宋" w:eastAsia="仿宋" w:cs="仿宋"/>
          <w:color w:val="000000" w:themeColor="text1"/>
          <w:sz w:val="30"/>
          <w:szCs w:val="30"/>
          <w:lang w:eastAsia="zh-CN"/>
          <w14:textFill>
            <w14:solidFill>
              <w14:schemeClr w14:val="tx1"/>
            </w14:solidFill>
          </w14:textFill>
        </w:rPr>
        <w:t>单位</w:t>
      </w:r>
      <w:r>
        <w:rPr>
          <w:rFonts w:hint="eastAsia" w:ascii="仿宋" w:hAnsi="仿宋" w:eastAsia="仿宋" w:cs="仿宋"/>
          <w:color w:val="000000" w:themeColor="text1"/>
          <w:sz w:val="30"/>
          <w:szCs w:val="30"/>
          <w14:textFill>
            <w14:solidFill>
              <w14:schemeClr w14:val="tx1"/>
            </w14:solidFill>
          </w14:textFill>
        </w:rPr>
        <w:t>勾结，</w:t>
      </w:r>
      <w:r>
        <w:rPr>
          <w:rFonts w:hint="eastAsia" w:ascii="仿宋" w:hAnsi="仿宋" w:eastAsia="仿宋" w:cs="仿宋"/>
          <w:color w:val="000000" w:themeColor="text1"/>
          <w:sz w:val="30"/>
          <w:szCs w:val="30"/>
          <w:lang w:eastAsia="zh-CN"/>
          <w14:textFill>
            <w14:solidFill>
              <w14:schemeClr w14:val="tx1"/>
            </w14:solidFill>
          </w14:textFill>
        </w:rPr>
        <w:t>或擅自开挖，</w:t>
      </w:r>
      <w:r>
        <w:rPr>
          <w:rFonts w:hint="eastAsia" w:ascii="仿宋" w:hAnsi="仿宋" w:eastAsia="仿宋" w:cs="仿宋"/>
          <w:color w:val="000000" w:themeColor="text1"/>
          <w:kern w:val="0"/>
          <w:sz w:val="30"/>
          <w:szCs w:val="30"/>
          <w14:textFill>
            <w14:solidFill>
              <w14:schemeClr w14:val="tx1"/>
            </w14:solidFill>
          </w14:textFill>
        </w:rPr>
        <w:t>侵吞</w:t>
      </w:r>
      <w:r>
        <w:rPr>
          <w:rFonts w:hint="eastAsia" w:ascii="仿宋" w:hAnsi="仿宋" w:eastAsia="仿宋" w:cs="仿宋"/>
          <w:color w:val="000000" w:themeColor="text1"/>
          <w:kern w:val="0"/>
          <w:sz w:val="30"/>
          <w:szCs w:val="30"/>
          <w:lang w:eastAsia="zh-CN"/>
          <w14:textFill>
            <w14:solidFill>
              <w14:schemeClr w14:val="tx1"/>
            </w14:solidFill>
          </w14:textFill>
        </w:rPr>
        <w:t>土石料</w:t>
      </w:r>
      <w:r>
        <w:rPr>
          <w:rFonts w:hint="eastAsia" w:ascii="仿宋" w:hAnsi="仿宋" w:eastAsia="仿宋" w:cs="仿宋"/>
          <w:color w:val="000000" w:themeColor="text1"/>
          <w:kern w:val="0"/>
          <w:sz w:val="30"/>
          <w:szCs w:val="30"/>
          <w14:textFill>
            <w14:solidFill>
              <w14:schemeClr w14:val="tx1"/>
            </w14:solidFill>
          </w14:textFill>
        </w:rPr>
        <w:t>且数量较大的；</w:t>
      </w:r>
    </w:p>
    <w:p w14:paraId="314A04F5">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2、发生重大安全事故等</w:t>
      </w:r>
      <w:r>
        <w:rPr>
          <w:rFonts w:hint="eastAsia" w:ascii="仿宋" w:hAnsi="仿宋" w:eastAsia="仿宋" w:cs="仿宋"/>
          <w:color w:val="000000" w:themeColor="text1"/>
          <w:sz w:val="30"/>
          <w:szCs w:val="30"/>
          <w:lang w:eastAsia="zh-CN"/>
          <w14:textFill>
            <w14:solidFill>
              <w14:schemeClr w14:val="tx1"/>
            </w14:solidFill>
          </w14:textFill>
        </w:rPr>
        <w:t>造成恶劣影响和社会负面舆论的；</w:t>
      </w:r>
    </w:p>
    <w:p w14:paraId="6B55E4E2">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205814C5">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（二）甲方出现下列情形之一，</w:t>
      </w:r>
      <w:r>
        <w:rPr>
          <w:rFonts w:hint="eastAsia" w:ascii="仿宋" w:hAnsi="仿宋" w:eastAsia="仿宋" w:cs="仿宋"/>
          <w:color w:val="000000" w:themeColor="text1"/>
          <w:kern w:val="0"/>
          <w:sz w:val="30"/>
          <w:szCs w:val="30"/>
          <w:lang w:eastAsia="zh-CN"/>
          <w14:textFill>
            <w14:solidFill>
              <w14:schemeClr w14:val="tx1"/>
            </w14:solidFill>
          </w14:textFill>
        </w:rPr>
        <w:t>属违约，</w:t>
      </w:r>
      <w:r>
        <w:rPr>
          <w:rFonts w:hint="eastAsia" w:ascii="仿宋" w:hAnsi="仿宋" w:eastAsia="仿宋" w:cs="仿宋"/>
          <w:color w:val="000000" w:themeColor="text1"/>
          <w:kern w:val="0"/>
          <w:sz w:val="30"/>
          <w:szCs w:val="30"/>
          <w14:textFill>
            <w14:solidFill>
              <w14:schemeClr w14:val="tx1"/>
            </w14:solidFill>
          </w14:textFill>
        </w:rPr>
        <w:t>乙方有权解除本合同，且</w:t>
      </w:r>
      <w:r>
        <w:rPr>
          <w:rFonts w:hint="eastAsia" w:ascii="仿宋" w:hAnsi="仿宋" w:eastAsia="仿宋" w:cs="仿宋"/>
          <w:color w:val="000000" w:themeColor="text1"/>
          <w:kern w:val="0"/>
          <w:sz w:val="30"/>
          <w:szCs w:val="30"/>
          <w:lang w:eastAsia="zh-CN"/>
          <w14:textFill>
            <w14:solidFill>
              <w14:schemeClr w14:val="tx1"/>
            </w14:solidFill>
          </w14:textFill>
        </w:rPr>
        <w:t>有权</w:t>
      </w:r>
      <w:r>
        <w:rPr>
          <w:rFonts w:hint="eastAsia" w:ascii="仿宋" w:hAnsi="仿宋" w:eastAsia="仿宋" w:cs="仿宋"/>
          <w:color w:val="000000" w:themeColor="text1"/>
          <w:kern w:val="0"/>
          <w:sz w:val="30"/>
          <w:szCs w:val="30"/>
          <w14:textFill>
            <w14:solidFill>
              <w14:schemeClr w14:val="tx1"/>
            </w14:solidFill>
          </w14:textFill>
        </w:rPr>
        <w:t>向甲方要求赔偿由此所造成的损失：</w:t>
      </w:r>
    </w:p>
    <w:p w14:paraId="737A82D3">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hint="eastAsia" w:ascii="仿宋" w:hAnsi="仿宋" w:eastAsia="仿宋" w:cs="仿宋"/>
          <w:color w:val="000000" w:themeColor="text1"/>
          <w:kern w:val="0"/>
          <w:sz w:val="30"/>
          <w:szCs w:val="30"/>
          <w:lang w:eastAsia="zh-CN"/>
          <w14:textFill>
            <w14:solidFill>
              <w14:schemeClr w14:val="tx1"/>
            </w14:solidFill>
          </w14:textFill>
        </w:rPr>
        <w:t>因施工工程调整导致设计量出现</w:t>
      </w:r>
      <w:r>
        <w:rPr>
          <w:rFonts w:hint="eastAsia" w:ascii="仿宋" w:hAnsi="仿宋" w:eastAsia="仿宋" w:cs="仿宋"/>
          <w:color w:val="000000" w:themeColor="text1"/>
          <w:kern w:val="0"/>
          <w:sz w:val="30"/>
          <w:szCs w:val="30"/>
          <w14:textFill>
            <w14:solidFill>
              <w14:schemeClr w14:val="tx1"/>
            </w14:solidFill>
          </w14:textFill>
        </w:rPr>
        <w:t>大幅度调整且未书面通知乙方的；</w:t>
      </w:r>
    </w:p>
    <w:p w14:paraId="4F315018">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w:t>
      </w: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在未函告乙方的情况下，</w:t>
      </w:r>
      <w:r>
        <w:rPr>
          <w:rFonts w:hint="eastAsia" w:ascii="仿宋" w:hAnsi="仿宋" w:eastAsia="仿宋" w:cs="仿宋"/>
          <w:color w:val="000000" w:themeColor="text1"/>
          <w:kern w:val="0"/>
          <w:sz w:val="30"/>
          <w:szCs w:val="30"/>
          <w14:textFill>
            <w14:solidFill>
              <w14:schemeClr w14:val="tx1"/>
            </w14:solidFill>
          </w14:textFill>
        </w:rPr>
        <w:t>擅自将</w:t>
      </w:r>
      <w:r>
        <w:rPr>
          <w:rFonts w:hint="eastAsia" w:ascii="仿宋" w:hAnsi="仿宋" w:eastAsia="仿宋" w:cs="仿宋"/>
          <w:color w:val="000000" w:themeColor="text1"/>
          <w:kern w:val="0"/>
          <w:sz w:val="30"/>
          <w:szCs w:val="30"/>
          <w:lang w:eastAsia="zh-CN"/>
          <w14:textFill>
            <w14:solidFill>
              <w14:schemeClr w14:val="tx1"/>
            </w14:solidFill>
          </w14:textFill>
        </w:rPr>
        <w:t>土石料</w:t>
      </w:r>
      <w:r>
        <w:rPr>
          <w:rFonts w:hint="eastAsia" w:ascii="仿宋" w:hAnsi="仿宋" w:eastAsia="仿宋" w:cs="仿宋"/>
          <w:color w:val="000000" w:themeColor="text1"/>
          <w:kern w:val="0"/>
          <w:sz w:val="30"/>
          <w:szCs w:val="30"/>
          <w14:textFill>
            <w14:solidFill>
              <w14:schemeClr w14:val="tx1"/>
            </w14:solidFill>
          </w14:textFill>
        </w:rPr>
        <w:t>处置的。</w:t>
      </w:r>
    </w:p>
    <w:p w14:paraId="1FDF5302">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0" w:firstLineChars="200"/>
        <w:textAlignment w:val="auto"/>
        <w:rPr>
          <w:rFonts w:hint="eastAsia"/>
          <w:color w:val="000000" w:themeColor="text1"/>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665C44BF">
      <w:pPr>
        <w:keepNext w:val="0"/>
        <w:keepLines w:val="0"/>
        <w:pageBreakBefore w:val="0"/>
        <w:widowControl w:val="0"/>
        <w:tabs>
          <w:tab w:val="left" w:pos="8280"/>
        </w:tabs>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第</w:t>
      </w:r>
      <w:r>
        <w:rPr>
          <w:rFonts w:hint="eastAsia" w:ascii="仿宋" w:hAnsi="仿宋" w:eastAsia="仿宋" w:cs="仿宋"/>
          <w:b/>
          <w:bCs/>
          <w:color w:val="000000" w:themeColor="text1"/>
          <w:kern w:val="0"/>
          <w:sz w:val="30"/>
          <w:szCs w:val="30"/>
          <w:lang w:eastAsia="zh-CN"/>
          <w14:textFill>
            <w14:solidFill>
              <w14:schemeClr w14:val="tx1"/>
            </w14:solidFill>
          </w14:textFill>
        </w:rPr>
        <w:t>七</w:t>
      </w:r>
      <w:r>
        <w:rPr>
          <w:rFonts w:hint="eastAsia" w:ascii="仿宋" w:hAnsi="仿宋" w:eastAsia="仿宋" w:cs="仿宋"/>
          <w:b/>
          <w:bCs/>
          <w:color w:val="000000" w:themeColor="text1"/>
          <w:kern w:val="0"/>
          <w:sz w:val="30"/>
          <w:szCs w:val="30"/>
          <w14:textFill>
            <w14:solidFill>
              <w14:schemeClr w14:val="tx1"/>
            </w14:solidFill>
          </w14:textFill>
        </w:rPr>
        <w:t>条 不可抗力</w:t>
      </w:r>
    </w:p>
    <w:p w14:paraId="38A892A9">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（一）因大雨等恶劣天气、相关职能部门因管理需要</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要求停运或其他不可抗力等原因需延长标的物提取时间的，乙方须向甲方提出书面申请，经甲方同意后方可顺延。</w:t>
      </w:r>
    </w:p>
    <w:p w14:paraId="30E63821">
      <w:pPr>
        <w:keepNext w:val="0"/>
        <w:keepLines w:val="0"/>
        <w:pageBreakBefore w:val="0"/>
        <w:widowControl w:val="0"/>
        <w:tabs>
          <w:tab w:val="left" w:pos="8280"/>
        </w:tabs>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w:t>
      </w:r>
      <w:r>
        <w:rPr>
          <w:rFonts w:hint="eastAsia" w:ascii="仿宋" w:hAnsi="仿宋" w:eastAsia="仿宋" w:cs="仿宋"/>
          <w:color w:val="000000" w:themeColor="text1"/>
          <w:sz w:val="30"/>
          <w:szCs w:val="30"/>
          <w14:textFill>
            <w14:solidFill>
              <w14:schemeClr w14:val="tx1"/>
            </w14:solidFill>
          </w14:textFill>
        </w:rPr>
        <w:t>因不可抗力情形导致标的物灭失且无法在履行合同时，甲乙双方均不作任何补偿，</w:t>
      </w:r>
      <w:r>
        <w:rPr>
          <w:rFonts w:hint="eastAsia" w:ascii="仿宋" w:hAnsi="仿宋" w:eastAsia="仿宋" w:cs="仿宋"/>
          <w:color w:val="000000" w:themeColor="text1"/>
          <w:sz w:val="30"/>
          <w:szCs w:val="30"/>
          <w:lang w:eastAsia="zh-CN"/>
          <w14:textFill>
            <w14:solidFill>
              <w14:schemeClr w14:val="tx1"/>
            </w14:solidFill>
          </w14:textFill>
        </w:rPr>
        <w:t>按本合同第四条第（十）款执行。</w:t>
      </w:r>
    </w:p>
    <w:p w14:paraId="157BC718">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八</w:t>
      </w:r>
      <w:r>
        <w:rPr>
          <w:rFonts w:hint="eastAsia" w:ascii="仿宋" w:hAnsi="仿宋" w:eastAsia="仿宋" w:cs="仿宋"/>
          <w:b/>
          <w:bCs/>
          <w:color w:val="000000" w:themeColor="text1"/>
          <w:sz w:val="30"/>
          <w:szCs w:val="30"/>
          <w14:textFill>
            <w14:solidFill>
              <w14:schemeClr w14:val="tx1"/>
            </w14:solidFill>
          </w14:textFill>
        </w:rPr>
        <w:t>条 补充与变更</w:t>
      </w:r>
    </w:p>
    <w:p w14:paraId="28D3AC82">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本合同可根据各方意见进行书面修改或补充，由此形成的补充协议，与本合同具有相同法律效力。</w:t>
      </w:r>
    </w:p>
    <w:p w14:paraId="11D51235">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九</w:t>
      </w:r>
      <w:r>
        <w:rPr>
          <w:rFonts w:hint="eastAsia" w:ascii="仿宋" w:hAnsi="仿宋" w:eastAsia="仿宋" w:cs="仿宋"/>
          <w:b/>
          <w:bCs/>
          <w:color w:val="000000" w:themeColor="text1"/>
          <w:sz w:val="30"/>
          <w:szCs w:val="30"/>
          <w14:textFill>
            <w14:solidFill>
              <w14:schemeClr w14:val="tx1"/>
            </w14:solidFill>
          </w14:textFill>
        </w:rPr>
        <w:t>条 争议的解决</w:t>
      </w:r>
    </w:p>
    <w:p w14:paraId="74342D0E">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各方当事人对本合同有关条款的解释或履行发生争议时，应通过友好协商的方式予以解决，经协商未达成书面协议，则任何一方当事人均有权向余姚市人民法院提起诉讼。</w:t>
      </w:r>
    </w:p>
    <w:p w14:paraId="5F6087E0">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w:t>
      </w:r>
      <w:r>
        <w:rPr>
          <w:rFonts w:hint="eastAsia" w:ascii="仿宋" w:hAnsi="仿宋" w:eastAsia="仿宋" w:cs="仿宋"/>
          <w:b/>
          <w:bCs/>
          <w:color w:val="000000" w:themeColor="text1"/>
          <w:sz w:val="30"/>
          <w:szCs w:val="30"/>
          <w14:textFill>
            <w14:solidFill>
              <w14:schemeClr w14:val="tx1"/>
            </w14:solidFill>
          </w14:textFill>
        </w:rPr>
        <w:t>条 协议和条款效力</w:t>
      </w:r>
    </w:p>
    <w:p w14:paraId="332C4D0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（一）甲乙双方因本次拍卖行为</w:t>
      </w:r>
      <w:r>
        <w:rPr>
          <w:rFonts w:hint="eastAsia" w:ascii="仿宋" w:hAnsi="仿宋" w:eastAsia="仿宋" w:cs="仿宋"/>
          <w:color w:val="000000" w:themeColor="text1"/>
          <w:sz w:val="30"/>
          <w:szCs w:val="30"/>
          <w:lang w:eastAsia="zh-CN"/>
          <w14:textFill>
            <w14:solidFill>
              <w14:schemeClr w14:val="tx1"/>
            </w14:solidFill>
          </w14:textFill>
        </w:rPr>
        <w:t>而</w:t>
      </w:r>
      <w:r>
        <w:rPr>
          <w:rFonts w:hint="eastAsia" w:ascii="仿宋" w:hAnsi="仿宋" w:eastAsia="仿宋" w:cs="仿宋"/>
          <w:color w:val="000000" w:themeColor="text1"/>
          <w:sz w:val="30"/>
          <w:szCs w:val="30"/>
          <w14:textFill>
            <w14:solidFill>
              <w14:schemeClr w14:val="tx1"/>
            </w14:solidFill>
          </w14:textFill>
        </w:rPr>
        <w:t>签署的各种文书及协议，为本合同的有效组织部分，均具有同等法律效</w:t>
      </w:r>
      <w:r>
        <w:rPr>
          <w:rFonts w:hint="eastAsia" w:ascii="仿宋" w:hAnsi="仿宋" w:eastAsia="仿宋" w:cs="仿宋"/>
          <w:color w:val="000000" w:themeColor="text1"/>
          <w:sz w:val="30"/>
          <w:szCs w:val="30"/>
          <w:lang w:eastAsia="zh-CN"/>
          <w14:textFill>
            <w14:solidFill>
              <w14:schemeClr w14:val="tx1"/>
            </w14:solidFill>
          </w14:textFill>
        </w:rPr>
        <w:t>力</w:t>
      </w:r>
      <w:r>
        <w:rPr>
          <w:rFonts w:hint="eastAsia" w:ascii="仿宋" w:hAnsi="仿宋" w:eastAsia="仿宋" w:cs="仿宋"/>
          <w:color w:val="000000" w:themeColor="text1"/>
          <w:sz w:val="30"/>
          <w:szCs w:val="30"/>
          <w14:textFill>
            <w14:solidFill>
              <w14:schemeClr w14:val="tx1"/>
            </w14:solidFill>
          </w14:textFill>
        </w:rPr>
        <w:t>。</w:t>
      </w:r>
    </w:p>
    <w:p w14:paraId="196CE3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（二）合同各款间效力独立，如遇国家法律法规、政府指令或司法实践的任何变化，导致本合同的任何条款成为非法、无效或者失去强制执行性的，本合同其他任何条款的合法性、有效性和强制性不受影响。</w:t>
      </w:r>
    </w:p>
    <w:p w14:paraId="02A5D5D8">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十一</w:t>
      </w:r>
      <w:r>
        <w:rPr>
          <w:rFonts w:hint="eastAsia" w:ascii="仿宋" w:hAnsi="仿宋" w:eastAsia="仿宋" w:cs="仿宋"/>
          <w:b/>
          <w:bCs/>
          <w:color w:val="000000" w:themeColor="text1"/>
          <w:sz w:val="30"/>
          <w:szCs w:val="30"/>
          <w14:textFill>
            <w14:solidFill>
              <w14:schemeClr w14:val="tx1"/>
            </w14:solidFill>
          </w14:textFill>
        </w:rPr>
        <w:t>条 生效条件</w:t>
      </w:r>
    </w:p>
    <w:p w14:paraId="101080C8">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本合同自双方的法定代表人或其授权代理人在本协议上签字</w:t>
      </w:r>
      <w:r>
        <w:rPr>
          <w:rFonts w:hint="eastAsia" w:ascii="仿宋" w:hAnsi="仿宋" w:eastAsia="仿宋" w:cs="仿宋"/>
          <w:color w:val="000000" w:themeColor="text1"/>
          <w:sz w:val="30"/>
          <w:szCs w:val="30"/>
          <w:lang w:eastAsia="zh-CN"/>
          <w14:textFill>
            <w14:solidFill>
              <w14:schemeClr w14:val="tx1"/>
            </w14:solidFill>
          </w14:textFill>
        </w:rPr>
        <w:t>并</w:t>
      </w:r>
      <w:r>
        <w:rPr>
          <w:rFonts w:hint="eastAsia" w:ascii="仿宋" w:hAnsi="仿宋" w:eastAsia="仿宋" w:cs="仿宋"/>
          <w:color w:val="000000" w:themeColor="text1"/>
          <w:sz w:val="30"/>
          <w:szCs w:val="30"/>
          <w14:textFill>
            <w14:solidFill>
              <w14:schemeClr w14:val="tx1"/>
            </w14:solidFill>
          </w14:textFill>
        </w:rPr>
        <w:t>加盖公章之日起生效。</w:t>
      </w:r>
    </w:p>
    <w:p w14:paraId="59DFE6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第十</w:t>
      </w:r>
      <w:r>
        <w:rPr>
          <w:rFonts w:hint="eastAsia" w:ascii="仿宋" w:hAnsi="仿宋" w:eastAsia="仿宋" w:cs="仿宋"/>
          <w:b/>
          <w:bCs/>
          <w:color w:val="000000" w:themeColor="text1"/>
          <w:sz w:val="30"/>
          <w:szCs w:val="30"/>
          <w:lang w:eastAsia="zh-CN"/>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 xml:space="preserve">条 其他 </w:t>
      </w:r>
    </w:p>
    <w:p w14:paraId="7D747179">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本协议一式叁份，具有</w:t>
      </w:r>
      <w:r>
        <w:rPr>
          <w:rFonts w:hint="eastAsia" w:ascii="仿宋" w:hAnsi="仿宋" w:eastAsia="仿宋" w:cs="仿宋"/>
          <w:color w:val="000000" w:themeColor="text1"/>
          <w:sz w:val="30"/>
          <w:szCs w:val="30"/>
          <w:lang w:eastAsia="zh-CN"/>
          <w14:textFill>
            <w14:solidFill>
              <w14:schemeClr w14:val="tx1"/>
            </w14:solidFill>
          </w14:textFill>
        </w:rPr>
        <w:t>同等</w:t>
      </w:r>
      <w:r>
        <w:rPr>
          <w:rFonts w:hint="eastAsia" w:ascii="仿宋" w:hAnsi="仿宋" w:eastAsia="仿宋" w:cs="仿宋"/>
          <w:color w:val="000000" w:themeColor="text1"/>
          <w:sz w:val="30"/>
          <w:szCs w:val="30"/>
          <w14:textFill>
            <w14:solidFill>
              <w14:schemeClr w14:val="tx1"/>
            </w14:solidFill>
          </w14:textFill>
        </w:rPr>
        <w:t>法律效力。甲方执贰份，乙方执壹份。</w:t>
      </w:r>
    </w:p>
    <w:p w14:paraId="0C5F60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34DD8795">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甲方（盖章）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乙方（盖章）</w:t>
      </w:r>
    </w:p>
    <w:p w14:paraId="62E0A38A">
      <w:pPr>
        <w:pStyle w:val="3"/>
        <w:pageBreakBefore w:val="0"/>
        <w:kinsoku/>
        <w:wordWrap/>
        <w:overflowPunct/>
        <w:topLinePunct w:val="0"/>
        <w:autoSpaceDE/>
        <w:autoSpaceDN/>
        <w:bidi w:val="0"/>
        <w:adjustRightInd/>
        <w:snapToGrid/>
        <w:spacing w:line="500" w:lineRule="exact"/>
        <w:ind w:firstLine="560"/>
        <w:textAlignment w:val="auto"/>
        <w:rPr>
          <w:rFonts w:hint="eastAsia"/>
          <w:color w:val="000000" w:themeColor="text1"/>
          <w14:textFill>
            <w14:solidFill>
              <w14:schemeClr w14:val="tx1"/>
            </w14:solidFill>
          </w14:textFill>
        </w:rPr>
      </w:pPr>
    </w:p>
    <w:p w14:paraId="1B70ABF7">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法定代表人（或代理人）：       法定代表人（或代理人）：</w:t>
      </w:r>
    </w:p>
    <w:p w14:paraId="6E1C2BCA">
      <w:pPr>
        <w:pStyle w:val="3"/>
        <w:pageBreakBefore w:val="0"/>
        <w:kinsoku/>
        <w:wordWrap/>
        <w:overflowPunct/>
        <w:topLinePunct w:val="0"/>
        <w:autoSpaceDE/>
        <w:autoSpaceDN/>
        <w:bidi w:val="0"/>
        <w:adjustRightInd/>
        <w:snapToGrid/>
        <w:spacing w:line="500" w:lineRule="exact"/>
        <w:ind w:firstLine="560"/>
        <w:textAlignment w:val="auto"/>
        <w:rPr>
          <w:rFonts w:hint="eastAsia"/>
          <w:color w:val="000000" w:themeColor="text1"/>
          <w14:textFill>
            <w14:solidFill>
              <w14:schemeClr w14:val="tx1"/>
            </w14:solidFill>
          </w14:textFill>
        </w:rPr>
      </w:pPr>
    </w:p>
    <w:p w14:paraId="03128F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联系电话：                    联系电话：</w:t>
      </w:r>
    </w:p>
    <w:p w14:paraId="6CA6EE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3F13B9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签订时间：202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  月  日    签订时间：202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  月  日</w:t>
      </w:r>
    </w:p>
    <w:p w14:paraId="4C0BFB46">
      <w:pPr>
        <w:pStyle w:val="3"/>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296D6EAB">
      <w:pPr>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67B39E45">
      <w:pPr>
        <w:pStyle w:val="3"/>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8"/>
          <w:szCs w:val="28"/>
          <w14:textFill>
            <w14:solidFill>
              <w14:schemeClr w14:val="tx1"/>
            </w14:solidFill>
          </w14:textFill>
        </w:rPr>
      </w:pPr>
    </w:p>
    <w:p w14:paraId="237B5D84">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附件：《项目情况简介》</w:t>
      </w:r>
    </w:p>
    <w:p w14:paraId="47A2FA33"/>
    <w:p w14:paraId="2076608F">
      <w:pPr>
        <w:pStyle w:val="3"/>
        <w:rPr>
          <w:rFonts w:hint="default"/>
          <w:lang w:val="en-US" w:eastAsia="zh-CN"/>
        </w:rPr>
      </w:pPr>
    </w:p>
    <w:p w14:paraId="15EFFE5F">
      <w:pPr>
        <w:rPr>
          <w:rFonts w:hint="default"/>
          <w:lang w:val="en-US" w:eastAsia="zh-CN"/>
        </w:rPr>
      </w:pPr>
    </w:p>
    <w:p w14:paraId="7B05403B">
      <w:pPr>
        <w:rPr>
          <w:rFonts w:hint="default"/>
          <w:lang w:val="en-US" w:eastAsia="zh-CN"/>
        </w:rPr>
      </w:pPr>
    </w:p>
    <w:p w14:paraId="46134050">
      <w:pPr>
        <w:rPr>
          <w:rFonts w:hint="default"/>
          <w:lang w:val="en-US" w:eastAsia="zh-CN"/>
        </w:rPr>
      </w:pPr>
    </w:p>
    <w:p w14:paraId="3E2A6506">
      <w:pPr>
        <w:rPr>
          <w:rFonts w:hint="default"/>
          <w:lang w:val="en-US" w:eastAsia="zh-CN"/>
        </w:rPr>
      </w:pPr>
    </w:p>
    <w:p w14:paraId="4B7C666D">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bookmarkStart w:id="1" w:name="_GoBack"/>
      <w:bookmarkEnd w:id="1"/>
      <w:r>
        <w:rPr>
          <w:rFonts w:hint="eastAsia" w:ascii="方正小标宋简体" w:hAnsi="方正小标宋简体" w:eastAsia="方正小标宋简体" w:cs="方正小标宋简体"/>
          <w:color w:val="000000"/>
          <w:sz w:val="44"/>
          <w:szCs w:val="44"/>
          <w:lang w:val="en-US" w:eastAsia="zh-CN"/>
        </w:rPr>
        <w:t>项目情况简介</w:t>
      </w:r>
    </w:p>
    <w:p w14:paraId="7289A593">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一、工程概况</w:t>
      </w:r>
    </w:p>
    <w:p w14:paraId="73F0E49A">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余姚市黄山未来社区（黄山西路北侧、开丰路两侧）地块选址于兰江街道黄山单元区块，具体范围为东至规划黄山公园，南至黄山西路，西至郑家江河道，北至谭家岭西路。总用地面积138973平方米，折合208.45亩（具体面积以实测为准），本项目根据《余姚黄山未来社区（黄山西路北侧、开丰路两侧）地块国有建设用地使用权出让规划条件》要求具体划分为三块地块，其中：地块一用地面积为47216平方米，折合70.82亩；地块二用地面积为22962平方米，折合34.44亩；地块三用地面积为68795平方米，折合103.19亩。用地性质为二类住宅用地。</w:t>
      </w:r>
    </w:p>
    <w:p w14:paraId="1ED3CCCD">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both"/>
        <w:textAlignment w:val="auto"/>
        <w:rPr>
          <w:rFonts w:hint="default"/>
          <w:lang w:val="en-US" w:eastAsia="zh-CN"/>
        </w:rPr>
      </w:pPr>
      <w:r>
        <w:rPr>
          <w:rFonts w:hint="eastAsia" w:ascii="仿宋_GB2312" w:hAnsi="仿宋_GB2312" w:eastAsia="仿宋_GB2312" w:cs="仿宋_GB2312"/>
          <w:b w:val="0"/>
          <w:bCs w:val="0"/>
          <w:color w:val="auto"/>
          <w:kern w:val="2"/>
          <w:sz w:val="32"/>
          <w:szCs w:val="32"/>
          <w:lang w:val="en-US" w:eastAsia="zh-CN" w:bidi="ar-SA"/>
        </w:rPr>
        <w:t>余姚黄山未来社区地块位于余姚黄山儿童公园周边，具体位置位于余姚技师学校以东，余姚市实验学校以西，余姚佛教居士林以南，余姚市黄山西路以北。地块西侧有三溪口溪流流过，地块四周临近道路及厂房，第二地块场地内有部分自然山体，整个山体以茶园为主，土丘部分地势较平缓，最大高度约为15m，场地总体地势平缓，周边道路情况为：场地西边为开丰路、北边为谭家岭西路、东边为新庄路、南边为黄山西路，其中，场地一500m范围内有余姚佛教居士林文殊殿，场地二东边500m范围内有余姚市瑞龙茶厂。</w:t>
      </w:r>
    </w:p>
    <w:p w14:paraId="04024EAC">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w:t>
      </w:r>
      <w:r>
        <w:rPr>
          <w:rFonts w:hint="default" w:ascii="黑体" w:hAnsi="黑体" w:eastAsia="黑体" w:cs="黑体"/>
          <w:b w:val="0"/>
          <w:bCs w:val="0"/>
          <w:color w:val="auto"/>
          <w:sz w:val="32"/>
          <w:szCs w:val="32"/>
          <w:lang w:val="en-US" w:eastAsia="zh-CN"/>
        </w:rPr>
        <w:t>治理区位置及范围</w:t>
      </w:r>
    </w:p>
    <w:p w14:paraId="63CF5A76">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项目位置：该边坡位于余姚市黄山西路北侧、开丰路两侧，具体位置余姚市瑞龙茶厂附近。中心地理坐标位于：东经121°8′10.6957″，北纬30°1′15.7142″。交通较便利（见图2-1），用地红线拐点坐标见表2-1,2-2。</w:t>
      </w:r>
    </w:p>
    <w:p w14:paraId="695D9A9C">
      <w:pPr>
        <w:keepNext w:val="0"/>
        <w:keepLines w:val="0"/>
        <w:pageBreakBefore w:val="0"/>
        <w:widowControl w:val="0"/>
        <w:kinsoku/>
        <w:wordWrap/>
        <w:overflowPunct/>
        <w:topLinePunct w:val="0"/>
        <w:autoSpaceDE/>
        <w:autoSpaceDN/>
        <w:bidi w:val="0"/>
        <w:adjustRightInd/>
        <w:snapToGrid/>
        <w:spacing w:before="157" w:beforeLines="50" w:after="157" w:afterLines="50" w:line="212" w:lineRule="auto"/>
        <w:ind w:left="1332"/>
        <w:textAlignment w:val="auto"/>
        <w:rPr>
          <w:rFonts w:ascii="仿宋" w:hAnsi="仿宋" w:eastAsia="仿宋" w:cs="仿宋"/>
          <w:sz w:val="24"/>
          <w:szCs w:val="24"/>
        </w:rPr>
      </w:pPr>
      <w:r>
        <w:rPr>
          <w:rFonts w:ascii="仿宋" w:hAnsi="仿宋" w:eastAsia="仿宋" w:cs="仿宋"/>
          <w:b/>
          <w:bCs/>
          <w:spacing w:val="-5"/>
          <w:sz w:val="24"/>
          <w:szCs w:val="24"/>
        </w:rPr>
        <w:t>表</w:t>
      </w:r>
      <w:r>
        <w:rPr>
          <w:rFonts w:ascii="仿宋" w:hAnsi="仿宋" w:eastAsia="仿宋" w:cs="仿宋"/>
          <w:spacing w:val="-33"/>
          <w:sz w:val="24"/>
          <w:szCs w:val="24"/>
        </w:rPr>
        <w:t xml:space="preserve"> </w:t>
      </w:r>
      <w:r>
        <w:rPr>
          <w:rFonts w:ascii="仿宋" w:hAnsi="仿宋" w:eastAsia="仿宋" w:cs="仿宋"/>
          <w:b/>
          <w:bCs/>
          <w:spacing w:val="-5"/>
          <w:sz w:val="24"/>
          <w:szCs w:val="24"/>
        </w:rPr>
        <w:t>2-1</w:t>
      </w:r>
      <w:r>
        <w:rPr>
          <w:rFonts w:ascii="仿宋" w:hAnsi="仿宋" w:eastAsia="仿宋" w:cs="仿宋"/>
          <w:spacing w:val="-42"/>
          <w:sz w:val="24"/>
          <w:szCs w:val="24"/>
        </w:rPr>
        <w:t xml:space="preserve"> </w:t>
      </w:r>
      <w:r>
        <w:rPr>
          <w:rFonts w:ascii="仿宋" w:hAnsi="仿宋" w:eastAsia="仿宋" w:cs="仿宋"/>
          <w:b/>
          <w:bCs/>
          <w:spacing w:val="-5"/>
          <w:sz w:val="24"/>
          <w:szCs w:val="24"/>
        </w:rPr>
        <w:t>地块一用地红线拐点坐标一览表（宁波</w:t>
      </w:r>
      <w:r>
        <w:rPr>
          <w:rFonts w:ascii="仿宋" w:hAnsi="仿宋" w:eastAsia="仿宋" w:cs="仿宋"/>
          <w:spacing w:val="-47"/>
          <w:sz w:val="24"/>
          <w:szCs w:val="24"/>
        </w:rPr>
        <w:t xml:space="preserve"> </w:t>
      </w:r>
      <w:r>
        <w:rPr>
          <w:rFonts w:ascii="仿宋" w:hAnsi="仿宋" w:eastAsia="仿宋" w:cs="仿宋"/>
          <w:b/>
          <w:bCs/>
          <w:spacing w:val="-5"/>
          <w:sz w:val="24"/>
          <w:szCs w:val="24"/>
        </w:rPr>
        <w:t>2000</w:t>
      </w:r>
      <w:r>
        <w:rPr>
          <w:rFonts w:ascii="仿宋" w:hAnsi="仿宋" w:eastAsia="仿宋" w:cs="仿宋"/>
          <w:spacing w:val="-35"/>
          <w:sz w:val="24"/>
          <w:szCs w:val="24"/>
        </w:rPr>
        <w:t xml:space="preserve"> </w:t>
      </w:r>
      <w:r>
        <w:rPr>
          <w:rFonts w:ascii="仿宋" w:hAnsi="仿宋" w:eastAsia="仿宋" w:cs="仿宋"/>
          <w:b/>
          <w:bCs/>
          <w:spacing w:val="-5"/>
          <w:sz w:val="24"/>
          <w:szCs w:val="24"/>
        </w:rPr>
        <w:t>坐标系）</w:t>
      </w:r>
    </w:p>
    <w:tbl>
      <w:tblPr>
        <w:tblStyle w:val="10"/>
        <w:tblW w:w="8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
        <w:gridCol w:w="2061"/>
        <w:gridCol w:w="2833"/>
        <w:gridCol w:w="3176"/>
      </w:tblGrid>
      <w:tr w14:paraId="0C2A1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restart"/>
            <w:noWrap w:val="0"/>
            <w:vAlign w:val="center"/>
          </w:tcPr>
          <w:p w14:paraId="44DDD032">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仿宋" w:hAnsi="仿宋" w:eastAsia="仿宋" w:cs="仿宋"/>
                <w:sz w:val="24"/>
                <w:szCs w:val="24"/>
              </w:rPr>
            </w:pPr>
            <w:r>
              <w:rPr>
                <w:rFonts w:ascii="仿宋" w:hAnsi="仿宋" w:eastAsia="仿宋" w:cs="仿宋"/>
                <w:sz w:val="24"/>
                <w:szCs w:val="24"/>
              </w:rPr>
              <w:t>地</w:t>
            </w:r>
            <w:r>
              <w:rPr>
                <w:rFonts w:ascii="仿宋" w:hAnsi="仿宋" w:eastAsia="仿宋" w:cs="仿宋"/>
                <w:spacing w:val="-51"/>
                <w:sz w:val="24"/>
                <w:szCs w:val="24"/>
              </w:rPr>
              <w:t xml:space="preserve"> </w:t>
            </w:r>
            <w:r>
              <w:rPr>
                <w:rFonts w:ascii="仿宋" w:hAnsi="仿宋" w:eastAsia="仿宋" w:cs="仿宋"/>
                <w:sz w:val="24"/>
                <w:szCs w:val="24"/>
              </w:rPr>
              <w:t>块一</w:t>
            </w:r>
          </w:p>
        </w:tc>
        <w:tc>
          <w:tcPr>
            <w:tcW w:w="2061" w:type="dxa"/>
            <w:noWrap w:val="0"/>
            <w:vAlign w:val="center"/>
          </w:tcPr>
          <w:p w14:paraId="365C2921">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用地红线拐点号</w:t>
            </w:r>
          </w:p>
        </w:tc>
        <w:tc>
          <w:tcPr>
            <w:tcW w:w="2833" w:type="dxa"/>
            <w:noWrap w:val="0"/>
            <w:vAlign w:val="center"/>
          </w:tcPr>
          <w:p w14:paraId="0C4CFC23">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z w:val="24"/>
                <w:szCs w:val="24"/>
              </w:rPr>
              <w:t>X</w:t>
            </w:r>
          </w:p>
        </w:tc>
        <w:tc>
          <w:tcPr>
            <w:tcW w:w="3176" w:type="dxa"/>
            <w:noWrap w:val="0"/>
            <w:vAlign w:val="center"/>
          </w:tcPr>
          <w:p w14:paraId="466AC11C">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z w:val="24"/>
                <w:szCs w:val="24"/>
              </w:rPr>
              <w:t>Y</w:t>
            </w:r>
          </w:p>
        </w:tc>
      </w:tr>
      <w:tr w14:paraId="0F6A2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7428EDB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3706C153">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J1</w:t>
            </w:r>
          </w:p>
        </w:tc>
        <w:tc>
          <w:tcPr>
            <w:tcW w:w="2833" w:type="dxa"/>
            <w:noWrap w:val="0"/>
            <w:vAlign w:val="center"/>
          </w:tcPr>
          <w:p w14:paraId="6815893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122798.279</w:t>
            </w:r>
          </w:p>
        </w:tc>
        <w:tc>
          <w:tcPr>
            <w:tcW w:w="3176" w:type="dxa"/>
            <w:noWrap w:val="0"/>
            <w:vAlign w:val="center"/>
          </w:tcPr>
          <w:p w14:paraId="0A82177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264450.812</w:t>
            </w:r>
          </w:p>
        </w:tc>
      </w:tr>
      <w:tr w14:paraId="08B0A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6D7C1919">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452B4A7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J2</w:t>
            </w:r>
          </w:p>
        </w:tc>
        <w:tc>
          <w:tcPr>
            <w:tcW w:w="2833" w:type="dxa"/>
            <w:noWrap w:val="0"/>
            <w:vAlign w:val="center"/>
          </w:tcPr>
          <w:p w14:paraId="33CDEB11">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122818.255</w:t>
            </w:r>
          </w:p>
        </w:tc>
        <w:tc>
          <w:tcPr>
            <w:tcW w:w="3176" w:type="dxa"/>
            <w:noWrap w:val="0"/>
            <w:vAlign w:val="center"/>
          </w:tcPr>
          <w:p w14:paraId="4EA1D9A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264522.655</w:t>
            </w:r>
          </w:p>
        </w:tc>
      </w:tr>
      <w:tr w14:paraId="11111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422D83F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27784676">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J3</w:t>
            </w:r>
          </w:p>
        </w:tc>
        <w:tc>
          <w:tcPr>
            <w:tcW w:w="2833" w:type="dxa"/>
            <w:noWrap w:val="0"/>
            <w:vAlign w:val="center"/>
          </w:tcPr>
          <w:p w14:paraId="1C7F847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122831.684</w:t>
            </w:r>
          </w:p>
        </w:tc>
        <w:tc>
          <w:tcPr>
            <w:tcW w:w="3176" w:type="dxa"/>
            <w:noWrap w:val="0"/>
            <w:vAlign w:val="center"/>
          </w:tcPr>
          <w:p w14:paraId="5719A3B8">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264616.858</w:t>
            </w:r>
          </w:p>
        </w:tc>
      </w:tr>
      <w:tr w14:paraId="4D3D0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742AFAA6">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7204382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J4</w:t>
            </w:r>
          </w:p>
        </w:tc>
        <w:tc>
          <w:tcPr>
            <w:tcW w:w="2833" w:type="dxa"/>
            <w:noWrap w:val="0"/>
            <w:vAlign w:val="center"/>
          </w:tcPr>
          <w:p w14:paraId="70EF2789">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122859.979</w:t>
            </w:r>
          </w:p>
        </w:tc>
        <w:tc>
          <w:tcPr>
            <w:tcW w:w="3176" w:type="dxa"/>
            <w:noWrap w:val="0"/>
            <w:vAlign w:val="center"/>
          </w:tcPr>
          <w:p w14:paraId="3D80357F">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264681.432</w:t>
            </w:r>
          </w:p>
        </w:tc>
      </w:tr>
      <w:tr w14:paraId="06895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1217BC7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7CCA39A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J5</w:t>
            </w:r>
          </w:p>
        </w:tc>
        <w:tc>
          <w:tcPr>
            <w:tcW w:w="2833" w:type="dxa"/>
            <w:noWrap w:val="0"/>
            <w:vAlign w:val="center"/>
          </w:tcPr>
          <w:p w14:paraId="5AA7612E">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122916.534</w:t>
            </w:r>
          </w:p>
        </w:tc>
        <w:tc>
          <w:tcPr>
            <w:tcW w:w="3176" w:type="dxa"/>
            <w:noWrap w:val="0"/>
            <w:vAlign w:val="center"/>
          </w:tcPr>
          <w:p w14:paraId="6C47C29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264750.748</w:t>
            </w:r>
          </w:p>
        </w:tc>
      </w:tr>
      <w:tr w14:paraId="3E0E3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750118D0">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6ACBBB9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J6</w:t>
            </w:r>
          </w:p>
        </w:tc>
        <w:tc>
          <w:tcPr>
            <w:tcW w:w="2833" w:type="dxa"/>
            <w:noWrap w:val="0"/>
            <w:vAlign w:val="center"/>
          </w:tcPr>
          <w:p w14:paraId="4A278EF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122909.982</w:t>
            </w:r>
          </w:p>
        </w:tc>
        <w:tc>
          <w:tcPr>
            <w:tcW w:w="3176" w:type="dxa"/>
            <w:noWrap w:val="0"/>
            <w:vAlign w:val="center"/>
          </w:tcPr>
          <w:p w14:paraId="4F2FBA5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264753.258</w:t>
            </w:r>
          </w:p>
        </w:tc>
      </w:tr>
      <w:tr w14:paraId="7C383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70C10062">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7619920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J7</w:t>
            </w:r>
          </w:p>
        </w:tc>
        <w:tc>
          <w:tcPr>
            <w:tcW w:w="2833" w:type="dxa"/>
            <w:noWrap w:val="0"/>
            <w:vAlign w:val="center"/>
          </w:tcPr>
          <w:p w14:paraId="1B51ADE1">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122913.732</w:t>
            </w:r>
          </w:p>
        </w:tc>
        <w:tc>
          <w:tcPr>
            <w:tcW w:w="3176" w:type="dxa"/>
            <w:noWrap w:val="0"/>
            <w:vAlign w:val="center"/>
          </w:tcPr>
          <w:p w14:paraId="5C274238">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264765.755</w:t>
            </w:r>
          </w:p>
        </w:tc>
      </w:tr>
      <w:tr w14:paraId="00A49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vAlign w:val="center"/>
          </w:tcPr>
          <w:p w14:paraId="3894E473">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365934F3">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J8</w:t>
            </w:r>
          </w:p>
        </w:tc>
        <w:tc>
          <w:tcPr>
            <w:tcW w:w="2833" w:type="dxa"/>
            <w:noWrap w:val="0"/>
            <w:vAlign w:val="center"/>
          </w:tcPr>
          <w:p w14:paraId="2067870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122871.689</w:t>
            </w:r>
          </w:p>
        </w:tc>
        <w:tc>
          <w:tcPr>
            <w:tcW w:w="3176" w:type="dxa"/>
            <w:noWrap w:val="0"/>
            <w:vAlign w:val="center"/>
          </w:tcPr>
          <w:p w14:paraId="0EE08B6D">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264791.734</w:t>
            </w:r>
          </w:p>
        </w:tc>
      </w:tr>
      <w:tr w14:paraId="436F1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47BAC97E">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仿宋" w:hAnsi="仿宋" w:eastAsia="仿宋" w:cs="仿宋"/>
                <w:sz w:val="24"/>
                <w:szCs w:val="24"/>
              </w:rPr>
            </w:pPr>
          </w:p>
        </w:tc>
        <w:tc>
          <w:tcPr>
            <w:tcW w:w="2061" w:type="dxa"/>
            <w:noWrap w:val="0"/>
            <w:vAlign w:val="center"/>
          </w:tcPr>
          <w:p w14:paraId="388230A4">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4"/>
                <w:sz w:val="24"/>
                <w:szCs w:val="24"/>
              </w:rPr>
              <w:t>J9</w:t>
            </w:r>
          </w:p>
        </w:tc>
        <w:tc>
          <w:tcPr>
            <w:tcW w:w="2833" w:type="dxa"/>
            <w:noWrap w:val="0"/>
            <w:vAlign w:val="center"/>
          </w:tcPr>
          <w:p w14:paraId="70649FE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122838.675</w:t>
            </w:r>
          </w:p>
        </w:tc>
        <w:tc>
          <w:tcPr>
            <w:tcW w:w="3176" w:type="dxa"/>
            <w:noWrap w:val="0"/>
            <w:vAlign w:val="center"/>
          </w:tcPr>
          <w:p w14:paraId="490FFDD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264797.936</w:t>
            </w:r>
          </w:p>
        </w:tc>
      </w:tr>
      <w:tr w14:paraId="0F4F7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48D1E8D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13A93E59">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J10</w:t>
            </w:r>
          </w:p>
        </w:tc>
        <w:tc>
          <w:tcPr>
            <w:tcW w:w="2833" w:type="dxa"/>
            <w:noWrap w:val="0"/>
            <w:vAlign w:val="center"/>
          </w:tcPr>
          <w:p w14:paraId="0E68A986">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122834.866</w:t>
            </w:r>
          </w:p>
        </w:tc>
        <w:tc>
          <w:tcPr>
            <w:tcW w:w="3176" w:type="dxa"/>
            <w:noWrap w:val="0"/>
            <w:vAlign w:val="center"/>
          </w:tcPr>
          <w:p w14:paraId="4DABE46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264784.329</w:t>
            </w:r>
          </w:p>
        </w:tc>
      </w:tr>
      <w:tr w14:paraId="7812B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42BE8B0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59CCF874">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J11</w:t>
            </w:r>
          </w:p>
        </w:tc>
        <w:tc>
          <w:tcPr>
            <w:tcW w:w="2833" w:type="dxa"/>
            <w:noWrap w:val="0"/>
            <w:vAlign w:val="center"/>
          </w:tcPr>
          <w:p w14:paraId="063A2A46">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122814.702</w:t>
            </w:r>
          </w:p>
        </w:tc>
        <w:tc>
          <w:tcPr>
            <w:tcW w:w="3176" w:type="dxa"/>
            <w:noWrap w:val="0"/>
            <w:vAlign w:val="center"/>
          </w:tcPr>
          <w:p w14:paraId="3F94FB5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264775.056</w:t>
            </w:r>
          </w:p>
        </w:tc>
      </w:tr>
      <w:tr w14:paraId="6C909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22C15CE7">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60A0E34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J12</w:t>
            </w:r>
          </w:p>
        </w:tc>
        <w:tc>
          <w:tcPr>
            <w:tcW w:w="2833" w:type="dxa"/>
            <w:noWrap w:val="0"/>
            <w:vAlign w:val="center"/>
          </w:tcPr>
          <w:p w14:paraId="7117211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122806.105</w:t>
            </w:r>
          </w:p>
        </w:tc>
        <w:tc>
          <w:tcPr>
            <w:tcW w:w="3176" w:type="dxa"/>
            <w:noWrap w:val="0"/>
            <w:vAlign w:val="center"/>
          </w:tcPr>
          <w:p w14:paraId="67376B9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264779.012</w:t>
            </w:r>
          </w:p>
        </w:tc>
      </w:tr>
      <w:tr w14:paraId="1D90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35913E9C">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156D106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J13</w:t>
            </w:r>
          </w:p>
        </w:tc>
        <w:tc>
          <w:tcPr>
            <w:tcW w:w="2833" w:type="dxa"/>
            <w:noWrap w:val="0"/>
            <w:vAlign w:val="center"/>
          </w:tcPr>
          <w:p w14:paraId="19A493A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122789.075</w:t>
            </w:r>
          </w:p>
        </w:tc>
        <w:tc>
          <w:tcPr>
            <w:tcW w:w="3176" w:type="dxa"/>
            <w:noWrap w:val="0"/>
            <w:vAlign w:val="center"/>
          </w:tcPr>
          <w:p w14:paraId="2350CBAC">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264826.043</w:t>
            </w:r>
          </w:p>
        </w:tc>
      </w:tr>
      <w:tr w14:paraId="62650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3F4CCE55">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6482203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J14</w:t>
            </w:r>
          </w:p>
        </w:tc>
        <w:tc>
          <w:tcPr>
            <w:tcW w:w="2833" w:type="dxa"/>
            <w:noWrap w:val="0"/>
            <w:vAlign w:val="center"/>
          </w:tcPr>
          <w:p w14:paraId="587CA36D">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122775.920</w:t>
            </w:r>
          </w:p>
        </w:tc>
        <w:tc>
          <w:tcPr>
            <w:tcW w:w="3176" w:type="dxa"/>
            <w:noWrap w:val="0"/>
            <w:vAlign w:val="center"/>
          </w:tcPr>
          <w:p w14:paraId="49E6F963">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264843.990</w:t>
            </w:r>
          </w:p>
        </w:tc>
      </w:tr>
      <w:tr w14:paraId="7D9DB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1CB41D1F">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403C23E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J15</w:t>
            </w:r>
          </w:p>
        </w:tc>
        <w:tc>
          <w:tcPr>
            <w:tcW w:w="2833" w:type="dxa"/>
            <w:noWrap w:val="0"/>
            <w:vAlign w:val="center"/>
          </w:tcPr>
          <w:p w14:paraId="5884C64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122756.285</w:t>
            </w:r>
          </w:p>
        </w:tc>
        <w:tc>
          <w:tcPr>
            <w:tcW w:w="3176" w:type="dxa"/>
            <w:noWrap w:val="0"/>
            <w:vAlign w:val="center"/>
          </w:tcPr>
          <w:p w14:paraId="2C0721B9">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264828.793</w:t>
            </w:r>
          </w:p>
        </w:tc>
      </w:tr>
      <w:tr w14:paraId="6305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1FB497D5">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5352C82E">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J16</w:t>
            </w:r>
          </w:p>
        </w:tc>
        <w:tc>
          <w:tcPr>
            <w:tcW w:w="2833" w:type="dxa"/>
            <w:noWrap w:val="0"/>
            <w:vAlign w:val="center"/>
          </w:tcPr>
          <w:p w14:paraId="32B7815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122756.744</w:t>
            </w:r>
          </w:p>
        </w:tc>
        <w:tc>
          <w:tcPr>
            <w:tcW w:w="3176" w:type="dxa"/>
            <w:noWrap w:val="0"/>
            <w:vAlign w:val="center"/>
          </w:tcPr>
          <w:p w14:paraId="68A96AF8">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264813.624</w:t>
            </w:r>
          </w:p>
        </w:tc>
      </w:tr>
      <w:tr w14:paraId="470A9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134C616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547D1628">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J17</w:t>
            </w:r>
          </w:p>
        </w:tc>
        <w:tc>
          <w:tcPr>
            <w:tcW w:w="2833" w:type="dxa"/>
            <w:noWrap w:val="0"/>
            <w:vAlign w:val="center"/>
          </w:tcPr>
          <w:p w14:paraId="54D59E96">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122753.986</w:t>
            </w:r>
          </w:p>
        </w:tc>
        <w:tc>
          <w:tcPr>
            <w:tcW w:w="3176" w:type="dxa"/>
            <w:noWrap w:val="0"/>
            <w:vAlign w:val="center"/>
          </w:tcPr>
          <w:p w14:paraId="152E575B">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264780.276</w:t>
            </w:r>
          </w:p>
        </w:tc>
      </w:tr>
      <w:tr w14:paraId="23BF9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4962008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35056B6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J18</w:t>
            </w:r>
          </w:p>
        </w:tc>
        <w:tc>
          <w:tcPr>
            <w:tcW w:w="2833" w:type="dxa"/>
            <w:noWrap w:val="0"/>
            <w:vAlign w:val="center"/>
          </w:tcPr>
          <w:p w14:paraId="20C690F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122738.408</w:t>
            </w:r>
          </w:p>
        </w:tc>
        <w:tc>
          <w:tcPr>
            <w:tcW w:w="3176" w:type="dxa"/>
            <w:noWrap w:val="0"/>
            <w:vAlign w:val="center"/>
          </w:tcPr>
          <w:p w14:paraId="3D5887FD">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264759.964</w:t>
            </w:r>
          </w:p>
        </w:tc>
      </w:tr>
      <w:tr w14:paraId="785BC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0BA7B1B9">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697F6898">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J19</w:t>
            </w:r>
          </w:p>
        </w:tc>
        <w:tc>
          <w:tcPr>
            <w:tcW w:w="2833" w:type="dxa"/>
            <w:noWrap w:val="0"/>
            <w:vAlign w:val="center"/>
          </w:tcPr>
          <w:p w14:paraId="39B29A3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122715.968</w:t>
            </w:r>
          </w:p>
        </w:tc>
        <w:tc>
          <w:tcPr>
            <w:tcW w:w="3176" w:type="dxa"/>
            <w:noWrap w:val="0"/>
            <w:vAlign w:val="center"/>
          </w:tcPr>
          <w:p w14:paraId="07DC000F">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264751.020</w:t>
            </w:r>
          </w:p>
        </w:tc>
      </w:tr>
      <w:tr w14:paraId="26D3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3" w:type="dxa"/>
            <w:vMerge w:val="continue"/>
            <w:noWrap w:val="0"/>
            <w:textDirection w:val="tbRlV"/>
            <w:vAlign w:val="center"/>
          </w:tcPr>
          <w:p w14:paraId="440D57DF">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4530E22E">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J20</w:t>
            </w:r>
          </w:p>
        </w:tc>
        <w:tc>
          <w:tcPr>
            <w:tcW w:w="2833" w:type="dxa"/>
            <w:noWrap w:val="0"/>
            <w:vAlign w:val="center"/>
          </w:tcPr>
          <w:p w14:paraId="1BF1ADA6">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122709.592</w:t>
            </w:r>
          </w:p>
        </w:tc>
        <w:tc>
          <w:tcPr>
            <w:tcW w:w="3176" w:type="dxa"/>
            <w:noWrap w:val="0"/>
            <w:vAlign w:val="center"/>
          </w:tcPr>
          <w:p w14:paraId="2C041D5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264724.874</w:t>
            </w:r>
          </w:p>
        </w:tc>
      </w:tr>
      <w:tr w14:paraId="4CDEF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1DDD11A8">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6728350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J21</w:t>
            </w:r>
          </w:p>
        </w:tc>
        <w:tc>
          <w:tcPr>
            <w:tcW w:w="2833" w:type="dxa"/>
            <w:noWrap w:val="0"/>
            <w:vAlign w:val="center"/>
          </w:tcPr>
          <w:p w14:paraId="0DC19814">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122703.444</w:t>
            </w:r>
          </w:p>
        </w:tc>
        <w:tc>
          <w:tcPr>
            <w:tcW w:w="3176" w:type="dxa"/>
            <w:noWrap w:val="0"/>
            <w:vAlign w:val="center"/>
          </w:tcPr>
          <w:p w14:paraId="4732DB6D">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264715.628</w:t>
            </w:r>
          </w:p>
        </w:tc>
      </w:tr>
      <w:tr w14:paraId="16877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283571A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43590E4E">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J22</w:t>
            </w:r>
          </w:p>
        </w:tc>
        <w:tc>
          <w:tcPr>
            <w:tcW w:w="2833" w:type="dxa"/>
            <w:noWrap w:val="0"/>
            <w:vAlign w:val="center"/>
          </w:tcPr>
          <w:p w14:paraId="6544DCE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122652.224</w:t>
            </w:r>
          </w:p>
        </w:tc>
        <w:tc>
          <w:tcPr>
            <w:tcW w:w="3176" w:type="dxa"/>
            <w:noWrap w:val="0"/>
            <w:vAlign w:val="center"/>
          </w:tcPr>
          <w:p w14:paraId="285A17DD">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264612.273</w:t>
            </w:r>
          </w:p>
        </w:tc>
      </w:tr>
      <w:tr w14:paraId="755A4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7F9C9BC0">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208F28E3">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J23</w:t>
            </w:r>
          </w:p>
        </w:tc>
        <w:tc>
          <w:tcPr>
            <w:tcW w:w="2833" w:type="dxa"/>
            <w:noWrap w:val="0"/>
            <w:vAlign w:val="center"/>
          </w:tcPr>
          <w:p w14:paraId="22588B6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122650.308</w:t>
            </w:r>
          </w:p>
        </w:tc>
        <w:tc>
          <w:tcPr>
            <w:tcW w:w="3176" w:type="dxa"/>
            <w:noWrap w:val="0"/>
            <w:vAlign w:val="center"/>
          </w:tcPr>
          <w:p w14:paraId="4A7F0084">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264609.954</w:t>
            </w:r>
          </w:p>
        </w:tc>
      </w:tr>
      <w:tr w14:paraId="336A3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7E227A5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46118E1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J24</w:t>
            </w:r>
          </w:p>
        </w:tc>
        <w:tc>
          <w:tcPr>
            <w:tcW w:w="2833" w:type="dxa"/>
            <w:noWrap w:val="0"/>
            <w:vAlign w:val="center"/>
          </w:tcPr>
          <w:p w14:paraId="415BDBED">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122706.509</w:t>
            </w:r>
          </w:p>
        </w:tc>
        <w:tc>
          <w:tcPr>
            <w:tcW w:w="3176" w:type="dxa"/>
            <w:noWrap w:val="0"/>
            <w:vAlign w:val="center"/>
          </w:tcPr>
          <w:p w14:paraId="78D3287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264557.813</w:t>
            </w:r>
          </w:p>
        </w:tc>
      </w:tr>
      <w:tr w14:paraId="6CC44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3F04B66D">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2FAA14E9">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J25</w:t>
            </w:r>
          </w:p>
        </w:tc>
        <w:tc>
          <w:tcPr>
            <w:tcW w:w="2833" w:type="dxa"/>
            <w:noWrap w:val="0"/>
            <w:vAlign w:val="center"/>
          </w:tcPr>
          <w:p w14:paraId="78F4A158">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122729.468</w:t>
            </w:r>
          </w:p>
        </w:tc>
        <w:tc>
          <w:tcPr>
            <w:tcW w:w="3176" w:type="dxa"/>
            <w:noWrap w:val="0"/>
            <w:vAlign w:val="center"/>
          </w:tcPr>
          <w:p w14:paraId="39F313C5">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264536.024</w:t>
            </w:r>
          </w:p>
        </w:tc>
      </w:tr>
      <w:tr w14:paraId="1574C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622C67A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2997B846">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J26</w:t>
            </w:r>
          </w:p>
        </w:tc>
        <w:tc>
          <w:tcPr>
            <w:tcW w:w="2833" w:type="dxa"/>
            <w:noWrap w:val="0"/>
            <w:vAlign w:val="center"/>
          </w:tcPr>
          <w:p w14:paraId="304B7BA1">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122739.881</w:t>
            </w:r>
          </w:p>
        </w:tc>
        <w:tc>
          <w:tcPr>
            <w:tcW w:w="3176" w:type="dxa"/>
            <w:noWrap w:val="0"/>
            <w:vAlign w:val="center"/>
          </w:tcPr>
          <w:p w14:paraId="5ABDFD03">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264516.603</w:t>
            </w:r>
          </w:p>
        </w:tc>
      </w:tr>
      <w:tr w14:paraId="7DE14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4FDA896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4EBC35F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J27</w:t>
            </w:r>
          </w:p>
        </w:tc>
        <w:tc>
          <w:tcPr>
            <w:tcW w:w="2833" w:type="dxa"/>
            <w:noWrap w:val="0"/>
            <w:vAlign w:val="center"/>
          </w:tcPr>
          <w:p w14:paraId="393467C2">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122766.063</w:t>
            </w:r>
          </w:p>
        </w:tc>
        <w:tc>
          <w:tcPr>
            <w:tcW w:w="3176" w:type="dxa"/>
            <w:noWrap w:val="0"/>
            <w:vAlign w:val="center"/>
          </w:tcPr>
          <w:p w14:paraId="6CE48B10">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264487.577</w:t>
            </w:r>
          </w:p>
        </w:tc>
      </w:tr>
      <w:tr w14:paraId="0A044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3" w:type="dxa"/>
            <w:vMerge w:val="continue"/>
            <w:noWrap w:val="0"/>
            <w:textDirection w:val="tbRlV"/>
            <w:vAlign w:val="center"/>
          </w:tcPr>
          <w:p w14:paraId="3EC48887">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ascii="Arial"/>
                <w:sz w:val="21"/>
              </w:rPr>
            </w:pPr>
          </w:p>
        </w:tc>
        <w:tc>
          <w:tcPr>
            <w:tcW w:w="2061" w:type="dxa"/>
            <w:noWrap w:val="0"/>
            <w:vAlign w:val="center"/>
          </w:tcPr>
          <w:p w14:paraId="5064702A">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J28</w:t>
            </w:r>
          </w:p>
        </w:tc>
        <w:tc>
          <w:tcPr>
            <w:tcW w:w="2833" w:type="dxa"/>
            <w:noWrap w:val="0"/>
            <w:vAlign w:val="center"/>
          </w:tcPr>
          <w:p w14:paraId="0A0BDC37">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3"/>
                <w:sz w:val="24"/>
                <w:szCs w:val="24"/>
              </w:rPr>
              <w:t>122781.936</w:t>
            </w:r>
          </w:p>
        </w:tc>
        <w:tc>
          <w:tcPr>
            <w:tcW w:w="3176" w:type="dxa"/>
            <w:noWrap w:val="0"/>
            <w:vAlign w:val="center"/>
          </w:tcPr>
          <w:p w14:paraId="2CDE6E71">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ascii="仿宋" w:hAnsi="仿宋" w:eastAsia="仿宋" w:cs="仿宋"/>
                <w:sz w:val="24"/>
                <w:szCs w:val="24"/>
              </w:rPr>
            </w:pPr>
            <w:r>
              <w:rPr>
                <w:rFonts w:ascii="仿宋" w:hAnsi="仿宋" w:eastAsia="仿宋" w:cs="仿宋"/>
                <w:spacing w:val="-2"/>
                <w:sz w:val="24"/>
                <w:szCs w:val="24"/>
              </w:rPr>
              <w:t>264461.039</w:t>
            </w:r>
          </w:p>
        </w:tc>
      </w:tr>
    </w:tbl>
    <w:p w14:paraId="4BE2FF45">
      <w:pPr>
        <w:spacing w:before="36" w:line="212" w:lineRule="auto"/>
        <w:ind w:left="1330"/>
        <w:rPr>
          <w:rFonts w:ascii="仿宋" w:hAnsi="仿宋" w:eastAsia="仿宋" w:cs="仿宋"/>
          <w:b/>
          <w:bCs/>
          <w:spacing w:val="-5"/>
          <w:sz w:val="24"/>
          <w:szCs w:val="24"/>
        </w:rPr>
      </w:pPr>
    </w:p>
    <w:p w14:paraId="4CF9A211">
      <w:pPr>
        <w:spacing w:before="36" w:line="212" w:lineRule="auto"/>
        <w:ind w:left="1330"/>
        <w:rPr>
          <w:rFonts w:ascii="仿宋" w:hAnsi="仿宋" w:eastAsia="仿宋" w:cs="仿宋"/>
          <w:sz w:val="24"/>
          <w:szCs w:val="24"/>
        </w:rPr>
      </w:pPr>
      <w:r>
        <w:rPr>
          <w:rFonts w:ascii="仿宋" w:hAnsi="仿宋" w:eastAsia="仿宋" w:cs="仿宋"/>
          <w:b/>
          <w:bCs/>
          <w:spacing w:val="-5"/>
          <w:sz w:val="24"/>
          <w:szCs w:val="24"/>
        </w:rPr>
        <w:t>表</w:t>
      </w:r>
      <w:r>
        <w:rPr>
          <w:rFonts w:ascii="仿宋" w:hAnsi="仿宋" w:eastAsia="仿宋" w:cs="仿宋"/>
          <w:spacing w:val="-33"/>
          <w:sz w:val="24"/>
          <w:szCs w:val="24"/>
        </w:rPr>
        <w:t xml:space="preserve"> </w:t>
      </w:r>
      <w:r>
        <w:rPr>
          <w:rFonts w:ascii="仿宋" w:hAnsi="仿宋" w:eastAsia="仿宋" w:cs="仿宋"/>
          <w:b/>
          <w:bCs/>
          <w:spacing w:val="-5"/>
          <w:sz w:val="24"/>
          <w:szCs w:val="24"/>
        </w:rPr>
        <w:t>2-2</w:t>
      </w:r>
      <w:r>
        <w:rPr>
          <w:rFonts w:ascii="仿宋" w:hAnsi="仿宋" w:eastAsia="仿宋" w:cs="仿宋"/>
          <w:spacing w:val="-42"/>
          <w:sz w:val="24"/>
          <w:szCs w:val="24"/>
        </w:rPr>
        <w:t xml:space="preserve"> </w:t>
      </w:r>
      <w:r>
        <w:rPr>
          <w:rFonts w:ascii="仿宋" w:hAnsi="仿宋" w:eastAsia="仿宋" w:cs="仿宋"/>
          <w:b/>
          <w:bCs/>
          <w:spacing w:val="-5"/>
          <w:sz w:val="24"/>
          <w:szCs w:val="24"/>
        </w:rPr>
        <w:t>地块二用地红线拐点坐标一览表（宁波</w:t>
      </w:r>
      <w:r>
        <w:rPr>
          <w:rFonts w:ascii="仿宋" w:hAnsi="仿宋" w:eastAsia="仿宋" w:cs="仿宋"/>
          <w:spacing w:val="-47"/>
          <w:sz w:val="24"/>
          <w:szCs w:val="24"/>
        </w:rPr>
        <w:t xml:space="preserve"> </w:t>
      </w:r>
      <w:r>
        <w:rPr>
          <w:rFonts w:ascii="仿宋" w:hAnsi="仿宋" w:eastAsia="仿宋" w:cs="仿宋"/>
          <w:b/>
          <w:bCs/>
          <w:spacing w:val="-5"/>
          <w:sz w:val="24"/>
          <w:szCs w:val="24"/>
        </w:rPr>
        <w:t>2000</w:t>
      </w:r>
      <w:r>
        <w:rPr>
          <w:rFonts w:ascii="仿宋" w:hAnsi="仿宋" w:eastAsia="仿宋" w:cs="仿宋"/>
          <w:spacing w:val="-35"/>
          <w:sz w:val="24"/>
          <w:szCs w:val="24"/>
        </w:rPr>
        <w:t xml:space="preserve"> </w:t>
      </w:r>
      <w:r>
        <w:rPr>
          <w:rFonts w:ascii="仿宋" w:hAnsi="仿宋" w:eastAsia="仿宋" w:cs="仿宋"/>
          <w:b/>
          <w:bCs/>
          <w:spacing w:val="-5"/>
          <w:sz w:val="24"/>
          <w:szCs w:val="24"/>
        </w:rPr>
        <w:t>坐标系）</w:t>
      </w:r>
    </w:p>
    <w:tbl>
      <w:tblPr>
        <w:tblStyle w:val="10"/>
        <w:tblW w:w="8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
        <w:gridCol w:w="2061"/>
        <w:gridCol w:w="2833"/>
        <w:gridCol w:w="3176"/>
      </w:tblGrid>
      <w:tr w14:paraId="29423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463" w:type="dxa"/>
            <w:vMerge w:val="restart"/>
            <w:noWrap w:val="0"/>
            <w:vAlign w:val="center"/>
          </w:tcPr>
          <w:p w14:paraId="3CC63B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p w14:paraId="6E3CF9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1"/>
              </w:rPr>
            </w:pPr>
          </w:p>
          <w:p w14:paraId="324BEAE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仿宋" w:hAnsi="仿宋" w:eastAsia="仿宋" w:cs="仿宋"/>
                <w:sz w:val="24"/>
                <w:szCs w:val="24"/>
              </w:rPr>
            </w:pPr>
            <w:r>
              <w:rPr>
                <w:rFonts w:ascii="仿宋" w:hAnsi="仿宋" w:eastAsia="仿宋" w:cs="仿宋"/>
                <w:sz w:val="24"/>
                <w:szCs w:val="24"/>
              </w:rPr>
              <w:t>地</w:t>
            </w:r>
          </w:p>
          <w:p w14:paraId="2B3D6F3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仿宋" w:hAnsi="仿宋" w:eastAsia="仿宋" w:cs="仿宋"/>
                <w:sz w:val="24"/>
                <w:szCs w:val="24"/>
              </w:rPr>
            </w:pPr>
            <w:r>
              <w:rPr>
                <w:rFonts w:ascii="仿宋" w:hAnsi="仿宋" w:eastAsia="仿宋" w:cs="仿宋"/>
                <w:sz w:val="24"/>
                <w:szCs w:val="24"/>
              </w:rPr>
              <w:t>块</w:t>
            </w:r>
          </w:p>
          <w:p w14:paraId="1AEA3571">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仿宋" w:hAnsi="仿宋" w:eastAsia="仿宋" w:cs="仿宋"/>
                <w:sz w:val="24"/>
                <w:szCs w:val="24"/>
              </w:rPr>
            </w:pPr>
            <w:r>
              <w:rPr>
                <w:rFonts w:ascii="仿宋" w:hAnsi="仿宋" w:eastAsia="仿宋" w:cs="仿宋"/>
                <w:sz w:val="24"/>
                <w:szCs w:val="24"/>
              </w:rPr>
              <w:t>二</w:t>
            </w:r>
          </w:p>
        </w:tc>
        <w:tc>
          <w:tcPr>
            <w:tcW w:w="2061" w:type="dxa"/>
            <w:noWrap w:val="0"/>
            <w:vAlign w:val="top"/>
          </w:tcPr>
          <w:p w14:paraId="1F974C2C">
            <w:pPr>
              <w:keepNext w:val="0"/>
              <w:keepLines w:val="0"/>
              <w:pageBreakBefore w:val="0"/>
              <w:widowControl w:val="0"/>
              <w:kinsoku/>
              <w:wordWrap/>
              <w:overflowPunct/>
              <w:topLinePunct w:val="0"/>
              <w:autoSpaceDE/>
              <w:autoSpaceDN/>
              <w:bidi w:val="0"/>
              <w:adjustRightInd/>
              <w:snapToGrid/>
              <w:spacing w:before="174" w:line="480" w:lineRule="exact"/>
              <w:ind w:left="200"/>
              <w:textAlignment w:val="auto"/>
              <w:rPr>
                <w:rFonts w:ascii="仿宋" w:hAnsi="仿宋" w:eastAsia="仿宋" w:cs="仿宋"/>
                <w:sz w:val="24"/>
                <w:szCs w:val="24"/>
              </w:rPr>
            </w:pPr>
            <w:r>
              <w:rPr>
                <w:rFonts w:ascii="仿宋" w:hAnsi="仿宋" w:eastAsia="仿宋" w:cs="仿宋"/>
                <w:spacing w:val="-2"/>
                <w:sz w:val="24"/>
                <w:szCs w:val="24"/>
              </w:rPr>
              <w:t>用地红线拐点号</w:t>
            </w:r>
          </w:p>
        </w:tc>
        <w:tc>
          <w:tcPr>
            <w:tcW w:w="2833" w:type="dxa"/>
            <w:noWrap w:val="0"/>
            <w:vAlign w:val="top"/>
          </w:tcPr>
          <w:p w14:paraId="284EA9E3">
            <w:pPr>
              <w:keepNext w:val="0"/>
              <w:keepLines w:val="0"/>
              <w:pageBreakBefore w:val="0"/>
              <w:widowControl w:val="0"/>
              <w:kinsoku/>
              <w:wordWrap/>
              <w:overflowPunct/>
              <w:topLinePunct w:val="0"/>
              <w:autoSpaceDE/>
              <w:autoSpaceDN/>
              <w:bidi w:val="0"/>
              <w:adjustRightInd/>
              <w:snapToGrid/>
              <w:spacing w:before="221" w:line="480" w:lineRule="exact"/>
              <w:ind w:left="1355"/>
              <w:textAlignment w:val="auto"/>
              <w:rPr>
                <w:rFonts w:ascii="仿宋" w:hAnsi="仿宋" w:eastAsia="仿宋" w:cs="仿宋"/>
                <w:sz w:val="24"/>
                <w:szCs w:val="24"/>
              </w:rPr>
            </w:pPr>
            <w:r>
              <w:rPr>
                <w:rFonts w:ascii="仿宋" w:hAnsi="仿宋" w:eastAsia="仿宋" w:cs="仿宋"/>
                <w:sz w:val="24"/>
                <w:szCs w:val="24"/>
              </w:rPr>
              <w:t>X</w:t>
            </w:r>
          </w:p>
        </w:tc>
        <w:tc>
          <w:tcPr>
            <w:tcW w:w="3176" w:type="dxa"/>
            <w:noWrap w:val="0"/>
            <w:vAlign w:val="top"/>
          </w:tcPr>
          <w:p w14:paraId="175BCA14">
            <w:pPr>
              <w:keepNext w:val="0"/>
              <w:keepLines w:val="0"/>
              <w:pageBreakBefore w:val="0"/>
              <w:widowControl w:val="0"/>
              <w:kinsoku/>
              <w:wordWrap/>
              <w:overflowPunct/>
              <w:topLinePunct w:val="0"/>
              <w:autoSpaceDE/>
              <w:autoSpaceDN/>
              <w:bidi w:val="0"/>
              <w:adjustRightInd/>
              <w:snapToGrid/>
              <w:spacing w:before="221" w:line="480" w:lineRule="exact"/>
              <w:ind w:left="1529"/>
              <w:textAlignment w:val="auto"/>
              <w:rPr>
                <w:rFonts w:ascii="仿宋" w:hAnsi="仿宋" w:eastAsia="仿宋" w:cs="仿宋"/>
                <w:sz w:val="24"/>
                <w:szCs w:val="24"/>
              </w:rPr>
            </w:pPr>
            <w:r>
              <w:rPr>
                <w:rFonts w:ascii="仿宋" w:hAnsi="仿宋" w:eastAsia="仿宋" w:cs="仿宋"/>
                <w:sz w:val="24"/>
                <w:szCs w:val="24"/>
              </w:rPr>
              <w:t>Y</w:t>
            </w:r>
          </w:p>
        </w:tc>
      </w:tr>
      <w:tr w14:paraId="32022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097B7124">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54A639EF">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J1</w:t>
            </w:r>
          </w:p>
        </w:tc>
        <w:tc>
          <w:tcPr>
            <w:tcW w:w="2833" w:type="dxa"/>
            <w:noWrap w:val="0"/>
            <w:vAlign w:val="top"/>
          </w:tcPr>
          <w:p w14:paraId="7463E738">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122599.405</w:t>
            </w:r>
          </w:p>
        </w:tc>
        <w:tc>
          <w:tcPr>
            <w:tcW w:w="3176" w:type="dxa"/>
            <w:noWrap w:val="0"/>
            <w:vAlign w:val="top"/>
          </w:tcPr>
          <w:p w14:paraId="44130956">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264666.799</w:t>
            </w:r>
          </w:p>
        </w:tc>
      </w:tr>
      <w:tr w14:paraId="3FC29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21AC8010">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2C977E76">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J2</w:t>
            </w:r>
          </w:p>
        </w:tc>
        <w:tc>
          <w:tcPr>
            <w:tcW w:w="2833" w:type="dxa"/>
            <w:noWrap w:val="0"/>
            <w:vAlign w:val="top"/>
          </w:tcPr>
          <w:p w14:paraId="377E4483">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122663.073</w:t>
            </w:r>
          </w:p>
        </w:tc>
        <w:tc>
          <w:tcPr>
            <w:tcW w:w="3176" w:type="dxa"/>
            <w:noWrap w:val="0"/>
            <w:vAlign w:val="top"/>
          </w:tcPr>
          <w:p w14:paraId="027E2865">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264746.768</w:t>
            </w:r>
          </w:p>
        </w:tc>
      </w:tr>
      <w:tr w14:paraId="66845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574EAD5C">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7864AD0D">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J3</w:t>
            </w:r>
          </w:p>
        </w:tc>
        <w:tc>
          <w:tcPr>
            <w:tcW w:w="2833" w:type="dxa"/>
            <w:noWrap w:val="0"/>
            <w:vAlign w:val="top"/>
          </w:tcPr>
          <w:p w14:paraId="63C516A2">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122598.029</w:t>
            </w:r>
          </w:p>
        </w:tc>
        <w:tc>
          <w:tcPr>
            <w:tcW w:w="3176" w:type="dxa"/>
            <w:noWrap w:val="0"/>
            <w:vAlign w:val="top"/>
          </w:tcPr>
          <w:p w14:paraId="0289670F">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264796.940</w:t>
            </w:r>
          </w:p>
        </w:tc>
      </w:tr>
      <w:tr w14:paraId="697C0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6EA370FE">
            <w:pPr>
              <w:keepNext w:val="0"/>
              <w:keepLines w:val="0"/>
              <w:pageBreakBefore w:val="0"/>
              <w:widowControl w:val="0"/>
              <w:kinsoku/>
              <w:wordWrap/>
              <w:overflowPunct/>
              <w:topLinePunct w:val="0"/>
              <w:autoSpaceDE/>
              <w:autoSpaceDN/>
              <w:bidi w:val="0"/>
              <w:adjustRightInd/>
              <w:snapToGrid/>
              <w:spacing w:before="78" w:line="400" w:lineRule="exact"/>
              <w:ind w:left="124"/>
              <w:textAlignment w:val="auto"/>
              <w:rPr>
                <w:rFonts w:ascii="仿宋" w:hAnsi="仿宋" w:eastAsia="仿宋" w:cs="仿宋"/>
                <w:sz w:val="24"/>
                <w:szCs w:val="24"/>
              </w:rPr>
            </w:pPr>
          </w:p>
        </w:tc>
        <w:tc>
          <w:tcPr>
            <w:tcW w:w="2061" w:type="dxa"/>
            <w:noWrap w:val="0"/>
            <w:vAlign w:val="top"/>
          </w:tcPr>
          <w:p w14:paraId="2F355994">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J4</w:t>
            </w:r>
          </w:p>
        </w:tc>
        <w:tc>
          <w:tcPr>
            <w:tcW w:w="2833" w:type="dxa"/>
            <w:noWrap w:val="0"/>
            <w:vAlign w:val="top"/>
          </w:tcPr>
          <w:p w14:paraId="32FC0070">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122637.908</w:t>
            </w:r>
          </w:p>
        </w:tc>
        <w:tc>
          <w:tcPr>
            <w:tcW w:w="3176" w:type="dxa"/>
            <w:noWrap w:val="0"/>
            <w:vAlign w:val="top"/>
          </w:tcPr>
          <w:p w14:paraId="1D84541B">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264853.059</w:t>
            </w:r>
          </w:p>
        </w:tc>
      </w:tr>
      <w:tr w14:paraId="418B4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0ED0EEB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7EC99532">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J5</w:t>
            </w:r>
          </w:p>
        </w:tc>
        <w:tc>
          <w:tcPr>
            <w:tcW w:w="2833" w:type="dxa"/>
            <w:noWrap w:val="0"/>
            <w:vAlign w:val="top"/>
          </w:tcPr>
          <w:p w14:paraId="20E86F41">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122594.979</w:t>
            </w:r>
          </w:p>
        </w:tc>
        <w:tc>
          <w:tcPr>
            <w:tcW w:w="3176" w:type="dxa"/>
            <w:noWrap w:val="0"/>
            <w:vAlign w:val="top"/>
          </w:tcPr>
          <w:p w14:paraId="1CA47D32">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264885.808</w:t>
            </w:r>
          </w:p>
        </w:tc>
      </w:tr>
      <w:tr w14:paraId="21075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textDirection w:val="tbRlV"/>
            <w:vAlign w:val="top"/>
          </w:tcPr>
          <w:p w14:paraId="3F1240D1">
            <w:pPr>
              <w:keepNext w:val="0"/>
              <w:keepLines w:val="0"/>
              <w:pageBreakBefore w:val="0"/>
              <w:widowControl w:val="0"/>
              <w:kinsoku/>
              <w:wordWrap/>
              <w:overflowPunct/>
              <w:topLinePunct w:val="0"/>
              <w:autoSpaceDE/>
              <w:autoSpaceDN/>
              <w:bidi w:val="0"/>
              <w:adjustRightInd/>
              <w:snapToGrid/>
              <w:spacing w:before="109" w:line="400" w:lineRule="exact"/>
              <w:ind w:left="173"/>
              <w:textAlignment w:val="auto"/>
              <w:rPr>
                <w:rFonts w:ascii="仿宋" w:hAnsi="仿宋" w:eastAsia="仿宋" w:cs="仿宋"/>
                <w:sz w:val="24"/>
                <w:szCs w:val="24"/>
              </w:rPr>
            </w:pPr>
          </w:p>
        </w:tc>
        <w:tc>
          <w:tcPr>
            <w:tcW w:w="2061" w:type="dxa"/>
            <w:noWrap w:val="0"/>
            <w:vAlign w:val="top"/>
          </w:tcPr>
          <w:p w14:paraId="36155F6A">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J6</w:t>
            </w:r>
          </w:p>
        </w:tc>
        <w:tc>
          <w:tcPr>
            <w:tcW w:w="2833" w:type="dxa"/>
            <w:noWrap w:val="0"/>
            <w:vAlign w:val="top"/>
          </w:tcPr>
          <w:p w14:paraId="5336DBAA">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122567.648</w:t>
            </w:r>
          </w:p>
        </w:tc>
        <w:tc>
          <w:tcPr>
            <w:tcW w:w="3176" w:type="dxa"/>
            <w:noWrap w:val="0"/>
            <w:vAlign w:val="top"/>
          </w:tcPr>
          <w:p w14:paraId="6B536246">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264926.690</w:t>
            </w:r>
          </w:p>
        </w:tc>
      </w:tr>
      <w:tr w14:paraId="74018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textDirection w:val="tbRlV"/>
            <w:vAlign w:val="top"/>
          </w:tcPr>
          <w:p w14:paraId="01CD8E7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57625DE0">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J7</w:t>
            </w:r>
          </w:p>
        </w:tc>
        <w:tc>
          <w:tcPr>
            <w:tcW w:w="2833" w:type="dxa"/>
            <w:noWrap w:val="0"/>
            <w:vAlign w:val="top"/>
          </w:tcPr>
          <w:p w14:paraId="591F4969">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122549.039</w:t>
            </w:r>
          </w:p>
        </w:tc>
        <w:tc>
          <w:tcPr>
            <w:tcW w:w="3176" w:type="dxa"/>
            <w:noWrap w:val="0"/>
            <w:vAlign w:val="top"/>
          </w:tcPr>
          <w:p w14:paraId="2BD0073A">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264949.154</w:t>
            </w:r>
          </w:p>
        </w:tc>
      </w:tr>
      <w:tr w14:paraId="679DF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textDirection w:val="tbRlV"/>
            <w:vAlign w:val="top"/>
          </w:tcPr>
          <w:p w14:paraId="52CA647C">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6961B469">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J8</w:t>
            </w:r>
          </w:p>
        </w:tc>
        <w:tc>
          <w:tcPr>
            <w:tcW w:w="2833" w:type="dxa"/>
            <w:noWrap w:val="0"/>
            <w:vAlign w:val="top"/>
          </w:tcPr>
          <w:p w14:paraId="7A5757D1">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122510.761</w:t>
            </w:r>
          </w:p>
        </w:tc>
        <w:tc>
          <w:tcPr>
            <w:tcW w:w="3176" w:type="dxa"/>
            <w:noWrap w:val="0"/>
            <w:vAlign w:val="top"/>
          </w:tcPr>
          <w:p w14:paraId="7FAADBF6">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264854.449</w:t>
            </w:r>
          </w:p>
        </w:tc>
      </w:tr>
      <w:tr w14:paraId="77E3E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textDirection w:val="tbRlV"/>
            <w:vAlign w:val="top"/>
          </w:tcPr>
          <w:p w14:paraId="139C976B">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37635785">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J9</w:t>
            </w:r>
          </w:p>
        </w:tc>
        <w:tc>
          <w:tcPr>
            <w:tcW w:w="2833" w:type="dxa"/>
            <w:noWrap w:val="0"/>
            <w:vAlign w:val="top"/>
          </w:tcPr>
          <w:p w14:paraId="6BCA086D">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122480.307</w:t>
            </w:r>
          </w:p>
        </w:tc>
        <w:tc>
          <w:tcPr>
            <w:tcW w:w="3176" w:type="dxa"/>
            <w:noWrap w:val="0"/>
            <w:vAlign w:val="top"/>
          </w:tcPr>
          <w:p w14:paraId="043F5753">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264803.050</w:t>
            </w:r>
          </w:p>
        </w:tc>
      </w:tr>
      <w:tr w14:paraId="511CD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73D4C91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28FBB4B8">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J10</w:t>
            </w:r>
          </w:p>
        </w:tc>
        <w:tc>
          <w:tcPr>
            <w:tcW w:w="2833" w:type="dxa"/>
            <w:noWrap w:val="0"/>
            <w:vAlign w:val="top"/>
          </w:tcPr>
          <w:p w14:paraId="54521D7B">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122487.328</w:t>
            </w:r>
          </w:p>
        </w:tc>
        <w:tc>
          <w:tcPr>
            <w:tcW w:w="3176" w:type="dxa"/>
            <w:noWrap w:val="0"/>
            <w:vAlign w:val="top"/>
          </w:tcPr>
          <w:p w14:paraId="0D60EE45">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264791.676</w:t>
            </w:r>
          </w:p>
        </w:tc>
      </w:tr>
      <w:tr w14:paraId="3516B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04C539F4">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29CC0D94">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J11</w:t>
            </w:r>
          </w:p>
        </w:tc>
        <w:tc>
          <w:tcPr>
            <w:tcW w:w="2833" w:type="dxa"/>
            <w:noWrap w:val="0"/>
            <w:vAlign w:val="top"/>
          </w:tcPr>
          <w:p w14:paraId="0E0AAB1C">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122498.913</w:t>
            </w:r>
          </w:p>
        </w:tc>
        <w:tc>
          <w:tcPr>
            <w:tcW w:w="3176" w:type="dxa"/>
            <w:noWrap w:val="0"/>
            <w:vAlign w:val="top"/>
          </w:tcPr>
          <w:p w14:paraId="5F71B02F">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264790.204</w:t>
            </w:r>
          </w:p>
        </w:tc>
      </w:tr>
      <w:tr w14:paraId="63AB7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1BA2D8ED">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3BCB91C7">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J12</w:t>
            </w:r>
          </w:p>
        </w:tc>
        <w:tc>
          <w:tcPr>
            <w:tcW w:w="2833" w:type="dxa"/>
            <w:noWrap w:val="0"/>
            <w:vAlign w:val="top"/>
          </w:tcPr>
          <w:p w14:paraId="21A1D858">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122515.305</w:t>
            </w:r>
          </w:p>
        </w:tc>
        <w:tc>
          <w:tcPr>
            <w:tcW w:w="3176" w:type="dxa"/>
            <w:noWrap w:val="0"/>
            <w:vAlign w:val="top"/>
          </w:tcPr>
          <w:p w14:paraId="4856CC09">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264779.199</w:t>
            </w:r>
          </w:p>
        </w:tc>
      </w:tr>
      <w:tr w14:paraId="7EF5C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7D51D757">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424BC031">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J13</w:t>
            </w:r>
          </w:p>
        </w:tc>
        <w:tc>
          <w:tcPr>
            <w:tcW w:w="2833" w:type="dxa"/>
            <w:noWrap w:val="0"/>
            <w:vAlign w:val="top"/>
          </w:tcPr>
          <w:p w14:paraId="2E860EFE">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122566.491</w:t>
            </w:r>
          </w:p>
        </w:tc>
        <w:tc>
          <w:tcPr>
            <w:tcW w:w="3176" w:type="dxa"/>
            <w:noWrap w:val="0"/>
            <w:vAlign w:val="top"/>
          </w:tcPr>
          <w:p w14:paraId="308EE6C6">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264715.855</w:t>
            </w:r>
          </w:p>
        </w:tc>
      </w:tr>
      <w:tr w14:paraId="38FAB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63" w:type="dxa"/>
            <w:vMerge w:val="continue"/>
            <w:noWrap w:val="0"/>
            <w:vAlign w:val="top"/>
          </w:tcPr>
          <w:p w14:paraId="7C3A496A">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tc>
        <w:tc>
          <w:tcPr>
            <w:tcW w:w="2061" w:type="dxa"/>
            <w:noWrap w:val="0"/>
            <w:vAlign w:val="top"/>
          </w:tcPr>
          <w:p w14:paraId="077F8BC9">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J14</w:t>
            </w:r>
          </w:p>
        </w:tc>
        <w:tc>
          <w:tcPr>
            <w:tcW w:w="2833" w:type="dxa"/>
            <w:noWrap w:val="0"/>
            <w:vAlign w:val="top"/>
          </w:tcPr>
          <w:p w14:paraId="1B970F59">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122572.414</w:t>
            </w:r>
          </w:p>
        </w:tc>
        <w:tc>
          <w:tcPr>
            <w:tcW w:w="3176" w:type="dxa"/>
            <w:noWrap w:val="0"/>
            <w:vAlign w:val="top"/>
          </w:tcPr>
          <w:p w14:paraId="1DC3595F">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仿宋" w:hAnsi="仿宋" w:eastAsia="仿宋" w:cs="仿宋"/>
                <w:spacing w:val="-3"/>
                <w:sz w:val="24"/>
                <w:szCs w:val="24"/>
              </w:rPr>
            </w:pPr>
            <w:r>
              <w:rPr>
                <w:rFonts w:ascii="仿宋" w:hAnsi="仿宋" w:eastAsia="仿宋" w:cs="仿宋"/>
                <w:spacing w:val="-3"/>
                <w:sz w:val="24"/>
                <w:szCs w:val="24"/>
              </w:rPr>
              <w:t>264689.066</w:t>
            </w:r>
          </w:p>
        </w:tc>
      </w:tr>
    </w:tbl>
    <w:p w14:paraId="7D38E76D">
      <w:pPr>
        <w:spacing w:before="15"/>
      </w:pPr>
    </w:p>
    <w:p w14:paraId="4D4F9628">
      <w:pPr>
        <w:spacing w:before="15"/>
      </w:pPr>
      <w:r>
        <w:drawing>
          <wp:anchor distT="0" distB="0" distL="114300" distR="114300" simplePos="0" relativeHeight="251659264" behindDoc="1" locked="0" layoutInCell="1" allowOverlap="1">
            <wp:simplePos x="0" y="0"/>
            <wp:positionH relativeFrom="column">
              <wp:posOffset>-5715</wp:posOffset>
            </wp:positionH>
            <wp:positionV relativeFrom="paragraph">
              <wp:posOffset>53340</wp:posOffset>
            </wp:positionV>
            <wp:extent cx="5356225" cy="3213100"/>
            <wp:effectExtent l="0" t="0" r="15875" b="6350"/>
            <wp:wrapNone/>
            <wp:docPr id="2" name="IM 24"/>
            <wp:cNvGraphicFramePr/>
            <a:graphic xmlns:a="http://schemas.openxmlformats.org/drawingml/2006/main">
              <a:graphicData uri="http://schemas.openxmlformats.org/drawingml/2006/picture">
                <pic:pic xmlns:pic="http://schemas.openxmlformats.org/drawingml/2006/picture">
                  <pic:nvPicPr>
                    <pic:cNvPr id="2" name="IM 24"/>
                    <pic:cNvPicPr/>
                  </pic:nvPicPr>
                  <pic:blipFill>
                    <a:blip r:embed="rId4"/>
                    <a:stretch>
                      <a:fillRect/>
                    </a:stretch>
                  </pic:blipFill>
                  <pic:spPr>
                    <a:xfrm>
                      <a:off x="0" y="0"/>
                      <a:ext cx="5356225" cy="3213100"/>
                    </a:xfrm>
                    <a:prstGeom prst="rect">
                      <a:avLst/>
                    </a:prstGeom>
                    <a:noFill/>
                    <a:ln>
                      <a:noFill/>
                    </a:ln>
                  </pic:spPr>
                </pic:pic>
              </a:graphicData>
            </a:graphic>
          </wp:anchor>
        </w:drawing>
      </w:r>
    </w:p>
    <w:p w14:paraId="3B73030D">
      <w:pPr>
        <w:spacing w:before="15"/>
      </w:pPr>
    </w:p>
    <w:p w14:paraId="551AD574">
      <w:pPr>
        <w:spacing w:before="14"/>
      </w:pPr>
    </w:p>
    <w:tbl>
      <w:tblPr>
        <w:tblStyle w:val="10"/>
        <w:tblpPr w:leftFromText="180" w:rightFromText="180" w:vertAnchor="text" w:horzAnchor="page" w:tblpX="3523" w:tblpY="258"/>
        <w:tblOverlap w:val="never"/>
        <w:tblW w:w="8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0"/>
      </w:tblGrid>
      <w:tr w14:paraId="3ECF1C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5" w:hRule="atLeast"/>
        </w:trPr>
        <w:tc>
          <w:tcPr>
            <w:tcW w:w="880" w:type="dxa"/>
            <w:shd w:val="clear" w:color="auto" w:fill="FFFFFF"/>
            <w:noWrap w:val="0"/>
            <w:vAlign w:val="top"/>
          </w:tcPr>
          <w:p w14:paraId="5E3D0660">
            <w:pPr>
              <w:pStyle w:val="11"/>
              <w:spacing w:before="136" w:line="191" w:lineRule="auto"/>
              <w:ind w:left="150"/>
              <w:rPr>
                <w:sz w:val="18"/>
                <w:szCs w:val="18"/>
              </w:rPr>
            </w:pPr>
            <w:r>
              <w:rPr>
                <w:spacing w:val="1"/>
                <w:sz w:val="18"/>
                <w:szCs w:val="18"/>
              </w:rPr>
              <w:t>地块一</w:t>
            </w:r>
          </w:p>
        </w:tc>
      </w:tr>
    </w:tbl>
    <w:p w14:paraId="417049BC">
      <w:pPr>
        <w:spacing w:before="14"/>
      </w:pPr>
    </w:p>
    <w:p w14:paraId="5E6F539D">
      <w:pPr>
        <w:spacing w:before="34"/>
      </w:pPr>
    </w:p>
    <w:p w14:paraId="0F615BDE">
      <w:pPr>
        <w:spacing w:before="34"/>
      </w:pPr>
    </w:p>
    <w:p w14:paraId="26695204">
      <w:pPr>
        <w:spacing w:before="33"/>
      </w:pPr>
    </w:p>
    <w:p w14:paraId="248F01DA">
      <w:pPr>
        <w:spacing w:before="33"/>
      </w:pPr>
    </w:p>
    <w:tbl>
      <w:tblPr>
        <w:tblStyle w:val="10"/>
        <w:tblpPr w:leftFromText="180" w:rightFromText="180" w:vertAnchor="text" w:horzAnchor="page" w:tblpX="4933" w:tblpY="16"/>
        <w:tblOverlap w:val="never"/>
        <w:tblW w:w="8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0"/>
      </w:tblGrid>
      <w:tr w14:paraId="69A2E6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5" w:hRule="atLeast"/>
        </w:trPr>
        <w:tc>
          <w:tcPr>
            <w:tcW w:w="880" w:type="dxa"/>
            <w:shd w:val="clear" w:color="auto" w:fill="FFFFFF"/>
            <w:noWrap w:val="0"/>
            <w:vAlign w:val="top"/>
          </w:tcPr>
          <w:p w14:paraId="283AFB6A">
            <w:pPr>
              <w:pStyle w:val="11"/>
              <w:spacing w:before="136" w:line="191" w:lineRule="auto"/>
              <w:ind w:left="151"/>
              <w:rPr>
                <w:sz w:val="18"/>
                <w:szCs w:val="18"/>
              </w:rPr>
            </w:pPr>
            <w:r>
              <w:rPr>
                <w:spacing w:val="-2"/>
                <w:sz w:val="18"/>
                <w:szCs w:val="18"/>
              </w:rPr>
              <w:t>地块二</w:t>
            </w:r>
          </w:p>
        </w:tc>
      </w:tr>
    </w:tbl>
    <w:p w14:paraId="0E362319">
      <w:pPr>
        <w:spacing w:before="33"/>
      </w:pPr>
    </w:p>
    <w:p w14:paraId="47E21812">
      <w:pPr>
        <w:spacing w:before="53"/>
      </w:pPr>
    </w:p>
    <w:p w14:paraId="46D2B013">
      <w:pPr>
        <w:spacing w:before="52"/>
      </w:pPr>
    </w:p>
    <w:tbl>
      <w:tblPr>
        <w:tblStyle w:val="10"/>
        <w:tblpPr w:leftFromText="180" w:rightFromText="180" w:vertAnchor="text" w:horzAnchor="page" w:tblpX="3313" w:tblpY="108"/>
        <w:tblOverlap w:val="never"/>
        <w:tblW w:w="8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0"/>
      </w:tblGrid>
      <w:tr w14:paraId="445D1B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5" w:hRule="atLeast"/>
        </w:trPr>
        <w:tc>
          <w:tcPr>
            <w:tcW w:w="880" w:type="dxa"/>
            <w:shd w:val="clear" w:color="auto" w:fill="FFFFFF"/>
            <w:noWrap w:val="0"/>
            <w:vAlign w:val="top"/>
          </w:tcPr>
          <w:p w14:paraId="2BF94889">
            <w:pPr>
              <w:pStyle w:val="11"/>
              <w:spacing w:before="135" w:line="191" w:lineRule="auto"/>
              <w:ind w:left="150"/>
              <w:rPr>
                <w:sz w:val="18"/>
                <w:szCs w:val="18"/>
              </w:rPr>
            </w:pPr>
            <w:r>
              <w:rPr>
                <w:spacing w:val="-2"/>
                <w:sz w:val="18"/>
                <w:szCs w:val="18"/>
              </w:rPr>
              <w:t>地块三</w:t>
            </w:r>
          </w:p>
        </w:tc>
      </w:tr>
    </w:tbl>
    <w:p w14:paraId="5DD08D6D">
      <w:pPr>
        <w:spacing w:before="52"/>
      </w:pPr>
    </w:p>
    <w:p w14:paraId="3D0C2063">
      <w:pPr>
        <w:spacing w:before="52"/>
      </w:pPr>
    </w:p>
    <w:p w14:paraId="6971C405">
      <w:pPr>
        <w:pStyle w:val="4"/>
        <w:spacing w:line="284" w:lineRule="auto"/>
      </w:pPr>
    </w:p>
    <w:p w14:paraId="25AF3044">
      <w:pPr>
        <w:pStyle w:val="4"/>
        <w:spacing w:line="285" w:lineRule="auto"/>
      </w:pPr>
    </w:p>
    <w:p w14:paraId="6CE0B05F">
      <w:pPr>
        <w:spacing w:before="91" w:line="218" w:lineRule="auto"/>
        <w:ind w:left="1289"/>
        <w:rPr>
          <w:rFonts w:hint="default" w:ascii="仿宋_GB2312" w:hAnsi="仿宋_GB2312" w:eastAsia="仿宋_GB2312" w:cs="仿宋_GB2312"/>
          <w:b w:val="0"/>
          <w:bCs w:val="0"/>
          <w:color w:val="auto"/>
          <w:kern w:val="2"/>
          <w:sz w:val="32"/>
          <w:szCs w:val="32"/>
          <w:lang w:val="en-US" w:eastAsia="zh-CN" w:bidi="ar-SA"/>
        </w:rPr>
      </w:pPr>
      <w:r>
        <w:rPr>
          <w:rFonts w:ascii="仿宋" w:hAnsi="仿宋" w:eastAsia="仿宋" w:cs="仿宋"/>
          <w:b/>
          <w:bCs/>
          <w:spacing w:val="-7"/>
          <w:sz w:val="28"/>
          <w:szCs w:val="28"/>
        </w:rPr>
        <w:t>图</w:t>
      </w:r>
      <w:r>
        <w:rPr>
          <w:rFonts w:ascii="仿宋" w:hAnsi="仿宋" w:eastAsia="仿宋" w:cs="仿宋"/>
          <w:spacing w:val="-40"/>
          <w:sz w:val="28"/>
          <w:szCs w:val="28"/>
        </w:rPr>
        <w:t xml:space="preserve"> </w:t>
      </w:r>
      <w:r>
        <w:rPr>
          <w:rFonts w:ascii="仿宋" w:hAnsi="仿宋" w:eastAsia="仿宋" w:cs="仿宋"/>
          <w:b/>
          <w:bCs/>
          <w:spacing w:val="-7"/>
          <w:sz w:val="28"/>
          <w:szCs w:val="28"/>
        </w:rPr>
        <w:t>2-1</w:t>
      </w:r>
      <w:r>
        <w:rPr>
          <w:rFonts w:ascii="仿宋" w:hAnsi="仿宋" w:eastAsia="仿宋" w:cs="仿宋"/>
          <w:spacing w:val="-51"/>
          <w:sz w:val="28"/>
          <w:szCs w:val="28"/>
        </w:rPr>
        <w:t xml:space="preserve"> </w:t>
      </w:r>
      <w:r>
        <w:rPr>
          <w:rFonts w:ascii="仿宋" w:hAnsi="仿宋" w:eastAsia="仿宋" w:cs="仿宋"/>
          <w:b/>
          <w:bCs/>
          <w:spacing w:val="-7"/>
          <w:sz w:val="28"/>
          <w:szCs w:val="28"/>
        </w:rPr>
        <w:t>拟建场地区位图（引自高德地图</w:t>
      </w:r>
      <w:r>
        <w:rPr>
          <w:rFonts w:ascii="仿宋" w:hAnsi="仿宋" w:eastAsia="仿宋" w:cs="仿宋"/>
          <w:spacing w:val="-56"/>
          <w:sz w:val="28"/>
          <w:szCs w:val="28"/>
        </w:rPr>
        <w:t xml:space="preserve"> </w:t>
      </w:r>
      <w:r>
        <w:rPr>
          <w:rFonts w:ascii="仿宋" w:hAnsi="仿宋" w:eastAsia="仿宋" w:cs="仿宋"/>
          <w:b/>
          <w:bCs/>
          <w:spacing w:val="-7"/>
          <w:sz w:val="28"/>
          <w:szCs w:val="28"/>
        </w:rPr>
        <w:t>2024</w:t>
      </w:r>
      <w:r>
        <w:rPr>
          <w:rFonts w:ascii="仿宋" w:hAnsi="仿宋" w:eastAsia="仿宋" w:cs="仿宋"/>
          <w:spacing w:val="-54"/>
          <w:sz w:val="28"/>
          <w:szCs w:val="28"/>
        </w:rPr>
        <w:t xml:space="preserve"> </w:t>
      </w:r>
      <w:r>
        <w:rPr>
          <w:rFonts w:ascii="仿宋" w:hAnsi="仿宋" w:eastAsia="仿宋" w:cs="仿宋"/>
          <w:b/>
          <w:bCs/>
          <w:spacing w:val="-7"/>
          <w:sz w:val="28"/>
          <w:szCs w:val="28"/>
        </w:rPr>
        <w:t>版）</w:t>
      </w:r>
    </w:p>
    <w:p w14:paraId="34205DC2">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三、开挖土石方量估算</w:t>
      </w:r>
    </w:p>
    <w:p w14:paraId="4095B38A">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地块一场地内开挖残坡积土25305m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、全风化角砾岩18736m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、强风化角砾岩1603m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p>
    <w:p w14:paraId="45826012">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地块二场地内开挖残坡积土30521m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,全风化角砾岩78331m</w:t>
      </w:r>
      <w:r>
        <w:rPr>
          <w:rFonts w:hint="eastAsia" w:ascii="仿宋_GB2312" w:hAnsi="仿宋_GB2312" w:eastAsia="仿宋_GB2312" w:cs="仿宋_GB2312"/>
          <w:b w:val="0"/>
          <w:bCs w:val="0"/>
          <w:color w:val="auto"/>
          <w:kern w:val="2"/>
          <w:sz w:val="32"/>
          <w:szCs w:val="32"/>
          <w:vertAlign w:val="superscript"/>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p>
    <w:p w14:paraId="5B6D0E87">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地块三开挖土石方量经与各方单位沟通暂不考虑，本工程回填土石方量经暂不考虑，故自用量为0，具体需处置土石料汇总详见下表4-1。</w:t>
      </w:r>
    </w:p>
    <w:p w14:paraId="0203EEB7">
      <w:pPr>
        <w:spacing w:before="49" w:line="216" w:lineRule="auto"/>
        <w:ind w:left="1537"/>
        <w:rPr>
          <w:rFonts w:hint="default" w:ascii="仿宋_GB2312" w:hAnsi="仿宋_GB2312" w:eastAsia="仿宋_GB2312" w:cs="仿宋_GB2312"/>
          <w:b w:val="0"/>
          <w:bCs w:val="0"/>
          <w:color w:val="auto"/>
          <w:kern w:val="2"/>
          <w:sz w:val="32"/>
          <w:szCs w:val="32"/>
          <w:lang w:val="en-US" w:eastAsia="zh-CN" w:bidi="ar-SA"/>
        </w:rPr>
      </w:pPr>
      <w:r>
        <w:rPr>
          <w:rFonts w:ascii="仿宋" w:hAnsi="仿宋" w:eastAsia="仿宋" w:cs="仿宋"/>
          <w:b/>
          <w:bCs/>
          <w:spacing w:val="-4"/>
          <w:sz w:val="28"/>
          <w:szCs w:val="28"/>
        </w:rPr>
        <w:t>表</w:t>
      </w:r>
      <w:r>
        <w:rPr>
          <w:rFonts w:ascii="仿宋" w:hAnsi="仿宋" w:eastAsia="仿宋" w:cs="仿宋"/>
          <w:spacing w:val="-48"/>
          <w:sz w:val="28"/>
          <w:szCs w:val="28"/>
        </w:rPr>
        <w:t xml:space="preserve"> </w:t>
      </w:r>
      <w:r>
        <w:rPr>
          <w:rFonts w:ascii="仿宋" w:hAnsi="仿宋" w:eastAsia="仿宋" w:cs="仿宋"/>
          <w:b/>
          <w:bCs/>
          <w:spacing w:val="-4"/>
          <w:sz w:val="28"/>
          <w:szCs w:val="28"/>
        </w:rPr>
        <w:t>4-1</w:t>
      </w:r>
      <w:r>
        <w:rPr>
          <w:rFonts w:ascii="仿宋" w:hAnsi="仿宋" w:eastAsia="仿宋" w:cs="仿宋"/>
          <w:spacing w:val="-4"/>
          <w:sz w:val="28"/>
          <w:szCs w:val="28"/>
        </w:rPr>
        <w:t xml:space="preserve"> </w:t>
      </w:r>
      <w:r>
        <w:rPr>
          <w:rFonts w:ascii="仿宋" w:hAnsi="仿宋" w:eastAsia="仿宋" w:cs="仿宋"/>
          <w:b/>
          <w:bCs/>
          <w:spacing w:val="-4"/>
          <w:sz w:val="28"/>
          <w:szCs w:val="28"/>
        </w:rPr>
        <w:t>未来社区地块需处置土石料详表</w:t>
      </w:r>
    </w:p>
    <w:tbl>
      <w:tblPr>
        <w:tblStyle w:val="10"/>
        <w:tblW w:w="84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5"/>
        <w:gridCol w:w="2125"/>
        <w:gridCol w:w="2126"/>
        <w:gridCol w:w="2272"/>
      </w:tblGrid>
      <w:tr w14:paraId="1B8E2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955" w:type="dxa"/>
            <w:noWrap w:val="0"/>
            <w:vAlign w:val="center"/>
          </w:tcPr>
          <w:p w14:paraId="71B56FAE">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仿宋" w:hAnsi="仿宋" w:eastAsia="仿宋" w:cs="仿宋"/>
                <w:sz w:val="24"/>
                <w:szCs w:val="24"/>
              </w:rPr>
            </w:pPr>
            <w:r>
              <w:rPr>
                <w:rFonts w:ascii="仿宋" w:hAnsi="仿宋" w:eastAsia="仿宋" w:cs="仿宋"/>
                <w:spacing w:val="-4"/>
                <w:sz w:val="24"/>
                <w:szCs w:val="24"/>
              </w:rPr>
              <w:t>地块</w:t>
            </w:r>
          </w:p>
        </w:tc>
        <w:tc>
          <w:tcPr>
            <w:tcW w:w="2125" w:type="dxa"/>
            <w:noWrap w:val="0"/>
            <w:vAlign w:val="center"/>
          </w:tcPr>
          <w:p w14:paraId="4EA87143">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残坡积土</w:t>
            </w:r>
          </w:p>
        </w:tc>
        <w:tc>
          <w:tcPr>
            <w:tcW w:w="2126" w:type="dxa"/>
            <w:noWrap w:val="0"/>
            <w:vAlign w:val="center"/>
          </w:tcPr>
          <w:p w14:paraId="7EA6B135">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全风化角砾岩</w:t>
            </w:r>
          </w:p>
        </w:tc>
        <w:tc>
          <w:tcPr>
            <w:tcW w:w="2272" w:type="dxa"/>
            <w:noWrap w:val="0"/>
            <w:vAlign w:val="center"/>
          </w:tcPr>
          <w:p w14:paraId="63AB18C3">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强风化角砾岩</w:t>
            </w:r>
          </w:p>
        </w:tc>
      </w:tr>
      <w:tr w14:paraId="270D3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955" w:type="dxa"/>
            <w:noWrap w:val="0"/>
            <w:vAlign w:val="center"/>
          </w:tcPr>
          <w:p w14:paraId="0E3710E6">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仿宋" w:hAnsi="仿宋" w:eastAsia="仿宋" w:cs="仿宋"/>
                <w:sz w:val="24"/>
                <w:szCs w:val="24"/>
              </w:rPr>
            </w:pPr>
            <w:r>
              <w:rPr>
                <w:rFonts w:ascii="仿宋" w:hAnsi="仿宋" w:eastAsia="仿宋" w:cs="仿宋"/>
                <w:spacing w:val="1"/>
                <w:sz w:val="24"/>
                <w:szCs w:val="24"/>
              </w:rPr>
              <w:t>地块一</w:t>
            </w:r>
          </w:p>
        </w:tc>
        <w:tc>
          <w:tcPr>
            <w:tcW w:w="2125" w:type="dxa"/>
            <w:noWrap w:val="0"/>
            <w:vAlign w:val="center"/>
          </w:tcPr>
          <w:p w14:paraId="5F793F78">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仿宋" w:hAnsi="仿宋" w:eastAsia="仿宋" w:cs="仿宋"/>
                <w:sz w:val="24"/>
                <w:szCs w:val="24"/>
              </w:rPr>
            </w:pPr>
            <w:r>
              <w:rPr>
                <w:rFonts w:hint="eastAsia" w:ascii="仿宋" w:hAnsi="仿宋" w:eastAsia="仿宋" w:cs="仿宋"/>
                <w:spacing w:val="-2"/>
                <w:sz w:val="24"/>
                <w:szCs w:val="24"/>
                <w:lang w:eastAsia="zh-CN"/>
              </w:rPr>
              <w:t>25305</w:t>
            </w:r>
            <w:r>
              <w:rPr>
                <w:rFonts w:ascii="仿宋" w:hAnsi="仿宋" w:eastAsia="仿宋" w:cs="仿宋"/>
                <w:spacing w:val="-2"/>
                <w:sz w:val="24"/>
                <w:szCs w:val="24"/>
              </w:rPr>
              <w:t>m</w:t>
            </w:r>
            <w:r>
              <w:rPr>
                <w:rFonts w:ascii="仿宋" w:hAnsi="仿宋" w:eastAsia="仿宋" w:cs="仿宋"/>
                <w:spacing w:val="-2"/>
                <w:position w:val="10"/>
                <w:sz w:val="24"/>
                <w:szCs w:val="24"/>
              </w:rPr>
              <w:t>3</w:t>
            </w:r>
          </w:p>
        </w:tc>
        <w:tc>
          <w:tcPr>
            <w:tcW w:w="2126" w:type="dxa"/>
            <w:noWrap w:val="0"/>
            <w:vAlign w:val="center"/>
          </w:tcPr>
          <w:p w14:paraId="3658E478">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仿宋" w:hAnsi="仿宋" w:eastAsia="仿宋" w:cs="仿宋"/>
                <w:sz w:val="24"/>
                <w:szCs w:val="24"/>
              </w:rPr>
            </w:pPr>
            <w:r>
              <w:rPr>
                <w:rFonts w:hint="eastAsia" w:ascii="仿宋" w:hAnsi="仿宋" w:eastAsia="仿宋" w:cs="仿宋"/>
                <w:spacing w:val="-3"/>
                <w:sz w:val="24"/>
                <w:szCs w:val="24"/>
                <w:lang w:eastAsia="zh-CN"/>
              </w:rPr>
              <w:t>18736</w:t>
            </w:r>
            <w:r>
              <w:rPr>
                <w:rFonts w:ascii="仿宋" w:hAnsi="仿宋" w:eastAsia="仿宋" w:cs="仿宋"/>
                <w:spacing w:val="-3"/>
                <w:sz w:val="24"/>
                <w:szCs w:val="24"/>
              </w:rPr>
              <w:t>m</w:t>
            </w:r>
            <w:r>
              <w:rPr>
                <w:rFonts w:ascii="仿宋" w:hAnsi="仿宋" w:eastAsia="仿宋" w:cs="仿宋"/>
                <w:spacing w:val="-3"/>
                <w:position w:val="10"/>
                <w:sz w:val="24"/>
                <w:szCs w:val="24"/>
              </w:rPr>
              <w:t>3</w:t>
            </w:r>
          </w:p>
        </w:tc>
        <w:tc>
          <w:tcPr>
            <w:tcW w:w="2272" w:type="dxa"/>
            <w:noWrap w:val="0"/>
            <w:vAlign w:val="center"/>
          </w:tcPr>
          <w:p w14:paraId="02F66540">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仿宋" w:hAnsi="仿宋" w:eastAsia="仿宋" w:cs="仿宋"/>
                <w:sz w:val="24"/>
                <w:szCs w:val="24"/>
              </w:rPr>
            </w:pPr>
            <w:r>
              <w:rPr>
                <w:rFonts w:ascii="仿宋" w:hAnsi="仿宋" w:eastAsia="仿宋" w:cs="仿宋"/>
                <w:spacing w:val="-4"/>
                <w:sz w:val="24"/>
                <w:szCs w:val="24"/>
              </w:rPr>
              <w:t>1603m</w:t>
            </w:r>
            <w:r>
              <w:rPr>
                <w:rFonts w:ascii="仿宋" w:hAnsi="仿宋" w:eastAsia="仿宋" w:cs="仿宋"/>
                <w:spacing w:val="-4"/>
                <w:position w:val="10"/>
                <w:sz w:val="24"/>
                <w:szCs w:val="24"/>
              </w:rPr>
              <w:t>3</w:t>
            </w:r>
          </w:p>
        </w:tc>
      </w:tr>
      <w:tr w14:paraId="62949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955" w:type="dxa"/>
            <w:noWrap w:val="0"/>
            <w:vAlign w:val="center"/>
          </w:tcPr>
          <w:p w14:paraId="309FCBB4">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地块二</w:t>
            </w:r>
          </w:p>
        </w:tc>
        <w:tc>
          <w:tcPr>
            <w:tcW w:w="2125" w:type="dxa"/>
            <w:noWrap w:val="0"/>
            <w:vAlign w:val="center"/>
          </w:tcPr>
          <w:p w14:paraId="4690C5D0">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仿宋" w:hAnsi="仿宋" w:eastAsia="仿宋" w:cs="仿宋"/>
                <w:sz w:val="24"/>
                <w:szCs w:val="24"/>
              </w:rPr>
            </w:pPr>
            <w:r>
              <w:rPr>
                <w:rFonts w:hint="eastAsia" w:ascii="仿宋" w:hAnsi="仿宋" w:eastAsia="仿宋" w:cs="仿宋"/>
                <w:spacing w:val="-2"/>
                <w:sz w:val="24"/>
                <w:szCs w:val="24"/>
                <w:lang w:eastAsia="zh-CN"/>
              </w:rPr>
              <w:t>30521</w:t>
            </w:r>
            <w:r>
              <w:rPr>
                <w:rFonts w:ascii="仿宋" w:hAnsi="仿宋" w:eastAsia="仿宋" w:cs="仿宋"/>
                <w:spacing w:val="-2"/>
                <w:sz w:val="24"/>
                <w:szCs w:val="24"/>
              </w:rPr>
              <w:t>m</w:t>
            </w:r>
            <w:r>
              <w:rPr>
                <w:rFonts w:ascii="仿宋" w:hAnsi="仿宋" w:eastAsia="仿宋" w:cs="仿宋"/>
                <w:spacing w:val="-2"/>
                <w:position w:val="10"/>
                <w:sz w:val="24"/>
                <w:szCs w:val="24"/>
              </w:rPr>
              <w:t>3</w:t>
            </w:r>
          </w:p>
        </w:tc>
        <w:tc>
          <w:tcPr>
            <w:tcW w:w="2126" w:type="dxa"/>
            <w:noWrap w:val="0"/>
            <w:vAlign w:val="center"/>
          </w:tcPr>
          <w:p w14:paraId="6A42CB24">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仿宋" w:hAnsi="仿宋" w:eastAsia="仿宋" w:cs="仿宋"/>
                <w:sz w:val="24"/>
                <w:szCs w:val="24"/>
              </w:rPr>
            </w:pPr>
            <w:r>
              <w:rPr>
                <w:rFonts w:hint="eastAsia" w:ascii="仿宋" w:hAnsi="仿宋" w:eastAsia="仿宋" w:cs="仿宋"/>
                <w:spacing w:val="-2"/>
                <w:sz w:val="24"/>
                <w:szCs w:val="24"/>
                <w:lang w:eastAsia="zh-CN"/>
              </w:rPr>
              <w:t>78331</w:t>
            </w:r>
            <w:r>
              <w:rPr>
                <w:rFonts w:ascii="仿宋" w:hAnsi="仿宋" w:eastAsia="仿宋" w:cs="仿宋"/>
                <w:spacing w:val="-2"/>
                <w:sz w:val="24"/>
                <w:szCs w:val="24"/>
              </w:rPr>
              <w:t>m</w:t>
            </w:r>
            <w:r>
              <w:rPr>
                <w:rFonts w:ascii="仿宋" w:hAnsi="仿宋" w:eastAsia="仿宋" w:cs="仿宋"/>
                <w:spacing w:val="-2"/>
                <w:position w:val="10"/>
                <w:sz w:val="24"/>
                <w:szCs w:val="24"/>
              </w:rPr>
              <w:t>3</w:t>
            </w:r>
          </w:p>
        </w:tc>
        <w:tc>
          <w:tcPr>
            <w:tcW w:w="2272" w:type="dxa"/>
            <w:noWrap w:val="0"/>
            <w:vAlign w:val="center"/>
          </w:tcPr>
          <w:p w14:paraId="256057FB">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仿宋" w:hAnsi="仿宋" w:eastAsia="仿宋" w:cs="仿宋"/>
                <w:sz w:val="24"/>
                <w:szCs w:val="24"/>
              </w:rPr>
            </w:pPr>
            <w:r>
              <w:rPr>
                <w:rFonts w:ascii="仿宋" w:hAnsi="仿宋" w:eastAsia="仿宋" w:cs="仿宋"/>
                <w:spacing w:val="-3"/>
                <w:position w:val="-1"/>
                <w:sz w:val="24"/>
                <w:szCs w:val="24"/>
              </w:rPr>
              <w:t>0m</w:t>
            </w:r>
            <w:r>
              <w:rPr>
                <w:rFonts w:ascii="仿宋" w:hAnsi="仿宋" w:eastAsia="仿宋" w:cs="仿宋"/>
                <w:spacing w:val="-3"/>
                <w:position w:val="9"/>
                <w:sz w:val="24"/>
                <w:szCs w:val="24"/>
              </w:rPr>
              <w:t>3</w:t>
            </w:r>
          </w:p>
        </w:tc>
      </w:tr>
      <w:tr w14:paraId="26692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955" w:type="dxa"/>
            <w:noWrap w:val="0"/>
            <w:vAlign w:val="center"/>
          </w:tcPr>
          <w:p w14:paraId="39B40FC9">
            <w:pPr>
              <w:keepNext w:val="0"/>
              <w:keepLines w:val="0"/>
              <w:pageBreakBefore w:val="0"/>
              <w:widowControl w:val="0"/>
              <w:kinsoku/>
              <w:wordWrap/>
              <w:overflowPunct/>
              <w:topLinePunct w:val="0"/>
              <w:autoSpaceDE/>
              <w:autoSpaceDN/>
              <w:bidi w:val="0"/>
              <w:adjustRightInd/>
              <w:snapToGrid/>
              <w:spacing w:line="217"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单轴抗压强度</w:t>
            </w:r>
          </w:p>
        </w:tc>
        <w:tc>
          <w:tcPr>
            <w:tcW w:w="2125" w:type="dxa"/>
            <w:noWrap w:val="0"/>
            <w:vAlign w:val="center"/>
          </w:tcPr>
          <w:p w14:paraId="5396546C">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sz w:val="24"/>
                <w:szCs w:val="24"/>
              </w:rPr>
            </w:pPr>
          </w:p>
        </w:tc>
        <w:tc>
          <w:tcPr>
            <w:tcW w:w="2126" w:type="dxa"/>
            <w:noWrap w:val="0"/>
            <w:vAlign w:val="center"/>
          </w:tcPr>
          <w:p w14:paraId="358B91D9">
            <w:pPr>
              <w:keepNext w:val="0"/>
              <w:keepLines w:val="0"/>
              <w:pageBreakBefore w:val="0"/>
              <w:widowControl w:val="0"/>
              <w:kinsoku/>
              <w:wordWrap/>
              <w:overflowPunct/>
              <w:topLinePunct w:val="0"/>
              <w:autoSpaceDE/>
              <w:autoSpaceDN/>
              <w:bidi w:val="0"/>
              <w:adjustRightInd/>
              <w:snapToGrid/>
              <w:spacing w:line="223" w:lineRule="auto"/>
              <w:ind w:left="0" w:right="0"/>
              <w:jc w:val="center"/>
              <w:textAlignment w:val="auto"/>
              <w:rPr>
                <w:rFonts w:ascii="仿宋" w:hAnsi="仿宋" w:eastAsia="仿宋" w:cs="仿宋"/>
                <w:sz w:val="24"/>
                <w:szCs w:val="24"/>
              </w:rPr>
            </w:pPr>
            <w:r>
              <w:rPr>
                <w:rFonts w:ascii="仿宋" w:hAnsi="仿宋" w:eastAsia="仿宋" w:cs="仿宋"/>
                <w:sz w:val="24"/>
                <w:szCs w:val="24"/>
              </w:rPr>
              <w:t>/</w:t>
            </w:r>
          </w:p>
        </w:tc>
        <w:tc>
          <w:tcPr>
            <w:tcW w:w="2272" w:type="dxa"/>
            <w:noWrap w:val="0"/>
            <w:vAlign w:val="center"/>
          </w:tcPr>
          <w:p w14:paraId="07E7EE65">
            <w:pPr>
              <w:keepNext w:val="0"/>
              <w:keepLines w:val="0"/>
              <w:pageBreakBefore w:val="0"/>
              <w:widowControl w:val="0"/>
              <w:kinsoku/>
              <w:wordWrap/>
              <w:overflowPunct/>
              <w:topLinePunct w:val="0"/>
              <w:autoSpaceDE/>
              <w:autoSpaceDN/>
              <w:bidi w:val="0"/>
              <w:adjustRightInd/>
              <w:snapToGrid/>
              <w:spacing w:line="180" w:lineRule="auto"/>
              <w:ind w:left="0" w:right="0"/>
              <w:jc w:val="center"/>
              <w:textAlignment w:val="auto"/>
              <w:rPr>
                <w:rFonts w:ascii="仿宋" w:hAnsi="仿宋" w:eastAsia="仿宋" w:cs="仿宋"/>
                <w:sz w:val="24"/>
                <w:szCs w:val="24"/>
              </w:rPr>
            </w:pPr>
            <w:r>
              <w:rPr>
                <w:rFonts w:ascii="仿宋" w:hAnsi="仿宋" w:eastAsia="仿宋" w:cs="仿宋"/>
                <w:spacing w:val="-6"/>
                <w:sz w:val="24"/>
                <w:szCs w:val="24"/>
              </w:rPr>
              <w:t>10</w:t>
            </w:r>
          </w:p>
        </w:tc>
      </w:tr>
      <w:tr w14:paraId="5DAD1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955" w:type="dxa"/>
            <w:noWrap w:val="0"/>
            <w:vAlign w:val="center"/>
          </w:tcPr>
          <w:p w14:paraId="4BCB19EE">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仿宋" w:hAnsi="仿宋" w:eastAsia="仿宋" w:cs="仿宋"/>
                <w:sz w:val="24"/>
                <w:szCs w:val="24"/>
              </w:rPr>
            </w:pPr>
            <w:r>
              <w:rPr>
                <w:rFonts w:ascii="仿宋" w:hAnsi="仿宋" w:eastAsia="仿宋" w:cs="仿宋"/>
                <w:spacing w:val="-5"/>
                <w:sz w:val="24"/>
                <w:szCs w:val="24"/>
              </w:rPr>
              <w:t>重度</w:t>
            </w:r>
          </w:p>
        </w:tc>
        <w:tc>
          <w:tcPr>
            <w:tcW w:w="2125" w:type="dxa"/>
            <w:noWrap w:val="0"/>
            <w:vAlign w:val="center"/>
          </w:tcPr>
          <w:p w14:paraId="31CE299E">
            <w:pPr>
              <w:keepNext w:val="0"/>
              <w:keepLines w:val="0"/>
              <w:pageBreakBefore w:val="0"/>
              <w:widowControl w:val="0"/>
              <w:kinsoku/>
              <w:wordWrap/>
              <w:overflowPunct/>
              <w:topLinePunct w:val="0"/>
              <w:autoSpaceDE/>
              <w:autoSpaceDN/>
              <w:bidi w:val="0"/>
              <w:adjustRightInd/>
              <w:snapToGrid/>
              <w:spacing w:line="215"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1.89g/cm</w:t>
            </w:r>
            <w:r>
              <w:rPr>
                <w:rFonts w:ascii="仿宋" w:hAnsi="仿宋" w:eastAsia="仿宋" w:cs="仿宋"/>
                <w:spacing w:val="-3"/>
                <w:position w:val="10"/>
                <w:sz w:val="24"/>
                <w:szCs w:val="24"/>
              </w:rPr>
              <w:t>3</w:t>
            </w:r>
          </w:p>
        </w:tc>
        <w:tc>
          <w:tcPr>
            <w:tcW w:w="2126" w:type="dxa"/>
            <w:noWrap w:val="0"/>
            <w:vAlign w:val="center"/>
          </w:tcPr>
          <w:p w14:paraId="424F5386">
            <w:pPr>
              <w:keepNext w:val="0"/>
              <w:keepLines w:val="0"/>
              <w:pageBreakBefore w:val="0"/>
              <w:widowControl w:val="0"/>
              <w:kinsoku/>
              <w:wordWrap/>
              <w:overflowPunct/>
              <w:topLinePunct w:val="0"/>
              <w:autoSpaceDE/>
              <w:autoSpaceDN/>
              <w:bidi w:val="0"/>
              <w:adjustRightInd/>
              <w:snapToGrid/>
              <w:spacing w:line="215" w:lineRule="auto"/>
              <w:ind w:left="0" w:right="0"/>
              <w:jc w:val="center"/>
              <w:textAlignment w:val="auto"/>
              <w:rPr>
                <w:rFonts w:ascii="仿宋" w:hAnsi="仿宋" w:eastAsia="仿宋" w:cs="仿宋"/>
                <w:sz w:val="24"/>
                <w:szCs w:val="24"/>
              </w:rPr>
            </w:pPr>
            <w:r>
              <w:rPr>
                <w:rFonts w:ascii="仿宋" w:hAnsi="仿宋" w:eastAsia="仿宋" w:cs="仿宋"/>
                <w:spacing w:val="-4"/>
                <w:sz w:val="24"/>
                <w:szCs w:val="24"/>
              </w:rPr>
              <w:t>1.99</w:t>
            </w:r>
            <w:r>
              <w:rPr>
                <w:rFonts w:ascii="仿宋" w:hAnsi="仿宋" w:eastAsia="仿宋" w:cs="仿宋"/>
                <w:spacing w:val="15"/>
                <w:sz w:val="24"/>
                <w:szCs w:val="24"/>
              </w:rPr>
              <w:t xml:space="preserve"> </w:t>
            </w:r>
            <w:r>
              <w:rPr>
                <w:rFonts w:ascii="仿宋" w:hAnsi="仿宋" w:eastAsia="仿宋" w:cs="仿宋"/>
                <w:spacing w:val="-4"/>
                <w:sz w:val="24"/>
                <w:szCs w:val="24"/>
              </w:rPr>
              <w:t>g/cm</w:t>
            </w:r>
            <w:r>
              <w:rPr>
                <w:rFonts w:ascii="仿宋" w:hAnsi="仿宋" w:eastAsia="仿宋" w:cs="仿宋"/>
                <w:spacing w:val="-4"/>
                <w:position w:val="10"/>
                <w:sz w:val="24"/>
                <w:szCs w:val="24"/>
              </w:rPr>
              <w:t>3</w:t>
            </w:r>
          </w:p>
        </w:tc>
        <w:tc>
          <w:tcPr>
            <w:tcW w:w="2272" w:type="dxa"/>
            <w:noWrap w:val="0"/>
            <w:vAlign w:val="center"/>
          </w:tcPr>
          <w:p w14:paraId="159D85AE">
            <w:pPr>
              <w:keepNext w:val="0"/>
              <w:keepLines w:val="0"/>
              <w:pageBreakBefore w:val="0"/>
              <w:widowControl w:val="0"/>
              <w:kinsoku/>
              <w:wordWrap/>
              <w:overflowPunct/>
              <w:topLinePunct w:val="0"/>
              <w:autoSpaceDE/>
              <w:autoSpaceDN/>
              <w:bidi w:val="0"/>
              <w:adjustRightInd/>
              <w:snapToGrid/>
              <w:spacing w:line="215" w:lineRule="auto"/>
              <w:ind w:left="0" w:right="0"/>
              <w:jc w:val="center"/>
              <w:textAlignment w:val="auto"/>
              <w:rPr>
                <w:rFonts w:ascii="仿宋" w:hAnsi="仿宋" w:eastAsia="仿宋" w:cs="仿宋"/>
                <w:sz w:val="24"/>
                <w:szCs w:val="24"/>
              </w:rPr>
            </w:pPr>
            <w:r>
              <w:rPr>
                <w:rFonts w:ascii="仿宋" w:hAnsi="仿宋" w:eastAsia="仿宋" w:cs="仿宋"/>
                <w:spacing w:val="-3"/>
                <w:sz w:val="24"/>
                <w:szCs w:val="24"/>
              </w:rPr>
              <w:t>2.0</w:t>
            </w:r>
            <w:r>
              <w:rPr>
                <w:rFonts w:ascii="仿宋" w:hAnsi="仿宋" w:eastAsia="仿宋" w:cs="仿宋"/>
                <w:spacing w:val="15"/>
                <w:sz w:val="24"/>
                <w:szCs w:val="24"/>
              </w:rPr>
              <w:t xml:space="preserve"> </w:t>
            </w:r>
            <w:r>
              <w:rPr>
                <w:rFonts w:ascii="仿宋" w:hAnsi="仿宋" w:eastAsia="仿宋" w:cs="仿宋"/>
                <w:spacing w:val="-3"/>
                <w:sz w:val="24"/>
                <w:szCs w:val="24"/>
              </w:rPr>
              <w:t>g/cm</w:t>
            </w:r>
            <w:r>
              <w:rPr>
                <w:rFonts w:ascii="仿宋" w:hAnsi="仿宋" w:eastAsia="仿宋" w:cs="仿宋"/>
                <w:spacing w:val="-3"/>
                <w:position w:val="10"/>
                <w:sz w:val="24"/>
                <w:szCs w:val="24"/>
              </w:rPr>
              <w:t>3</w:t>
            </w:r>
          </w:p>
        </w:tc>
      </w:tr>
      <w:tr w14:paraId="4DA07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955" w:type="dxa"/>
            <w:noWrap w:val="0"/>
            <w:vAlign w:val="center"/>
          </w:tcPr>
          <w:p w14:paraId="4F31BE8E">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仿宋" w:hAnsi="仿宋" w:eastAsia="仿宋" w:cs="仿宋"/>
                <w:sz w:val="24"/>
                <w:szCs w:val="24"/>
              </w:rPr>
            </w:pPr>
            <w:r>
              <w:rPr>
                <w:rFonts w:ascii="仿宋" w:hAnsi="仿宋" w:eastAsia="仿宋" w:cs="仿宋"/>
                <w:spacing w:val="-6"/>
                <w:sz w:val="24"/>
                <w:szCs w:val="24"/>
              </w:rPr>
              <w:t>总计</w:t>
            </w:r>
          </w:p>
        </w:tc>
        <w:tc>
          <w:tcPr>
            <w:tcW w:w="2125" w:type="dxa"/>
            <w:noWrap w:val="0"/>
            <w:vAlign w:val="center"/>
          </w:tcPr>
          <w:p w14:paraId="428EFCBA">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Arial"/>
                <w:sz w:val="24"/>
                <w:szCs w:val="24"/>
              </w:rPr>
            </w:pPr>
            <w:r>
              <w:rPr>
                <w:rFonts w:hint="eastAsia" w:ascii="仿宋" w:hAnsi="仿宋" w:eastAsia="仿宋" w:cs="仿宋"/>
                <w:spacing w:val="-1"/>
                <w:sz w:val="24"/>
                <w:szCs w:val="24"/>
                <w:lang w:eastAsia="zh-CN"/>
              </w:rPr>
              <w:t>55826</w:t>
            </w:r>
            <w:r>
              <w:rPr>
                <w:rFonts w:ascii="仿宋" w:hAnsi="仿宋" w:eastAsia="仿宋" w:cs="仿宋"/>
                <w:spacing w:val="-1"/>
                <w:sz w:val="24"/>
                <w:szCs w:val="24"/>
              </w:rPr>
              <w:t>m</w:t>
            </w:r>
            <w:r>
              <w:rPr>
                <w:rFonts w:ascii="仿宋" w:hAnsi="仿宋" w:eastAsia="仿宋" w:cs="仿宋"/>
                <w:spacing w:val="-1"/>
                <w:position w:val="10"/>
                <w:sz w:val="24"/>
                <w:szCs w:val="24"/>
              </w:rPr>
              <w:t>3</w:t>
            </w:r>
          </w:p>
          <w:p w14:paraId="30C2ED68">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ascii="仿宋" w:hAnsi="仿宋" w:eastAsia="仿宋" w:cs="仿宋"/>
                <w:sz w:val="24"/>
                <w:szCs w:val="24"/>
              </w:rPr>
            </w:pPr>
            <w:r>
              <w:rPr>
                <w:rFonts w:ascii="仿宋" w:hAnsi="仿宋" w:eastAsia="仿宋" w:cs="仿宋"/>
                <w:spacing w:val="-7"/>
                <w:sz w:val="24"/>
                <w:szCs w:val="24"/>
              </w:rPr>
              <w:t>(</w:t>
            </w:r>
            <w:r>
              <w:rPr>
                <w:rFonts w:hint="eastAsia" w:ascii="仿宋" w:hAnsi="仿宋" w:eastAsia="仿宋" w:cs="仿宋"/>
                <w:spacing w:val="-7"/>
                <w:sz w:val="24"/>
                <w:szCs w:val="24"/>
                <w:lang w:eastAsia="zh-CN"/>
              </w:rPr>
              <w:t>105511</w:t>
            </w:r>
            <w:r>
              <w:rPr>
                <w:rFonts w:ascii="仿宋" w:hAnsi="仿宋" w:eastAsia="仿宋" w:cs="仿宋"/>
                <w:spacing w:val="-32"/>
                <w:sz w:val="24"/>
                <w:szCs w:val="24"/>
              </w:rPr>
              <w:t xml:space="preserve"> </w:t>
            </w:r>
            <w:r>
              <w:rPr>
                <w:rFonts w:ascii="仿宋" w:hAnsi="仿宋" w:eastAsia="仿宋" w:cs="仿宋"/>
                <w:spacing w:val="-7"/>
                <w:sz w:val="24"/>
                <w:szCs w:val="24"/>
              </w:rPr>
              <w:t>吨)</w:t>
            </w:r>
          </w:p>
        </w:tc>
        <w:tc>
          <w:tcPr>
            <w:tcW w:w="2126" w:type="dxa"/>
            <w:noWrap w:val="0"/>
            <w:vAlign w:val="center"/>
          </w:tcPr>
          <w:p w14:paraId="31E2ECE5">
            <w:pPr>
              <w:keepNext w:val="0"/>
              <w:keepLines w:val="0"/>
              <w:pageBreakBefore w:val="0"/>
              <w:widowControl w:val="0"/>
              <w:kinsoku/>
              <w:wordWrap/>
              <w:overflowPunct/>
              <w:topLinePunct w:val="0"/>
              <w:autoSpaceDE/>
              <w:autoSpaceDN/>
              <w:bidi w:val="0"/>
              <w:adjustRightInd/>
              <w:snapToGrid/>
              <w:spacing w:line="216" w:lineRule="auto"/>
              <w:ind w:left="0" w:right="0"/>
              <w:jc w:val="center"/>
              <w:textAlignment w:val="auto"/>
              <w:rPr>
                <w:rFonts w:ascii="Arial"/>
                <w:sz w:val="24"/>
                <w:szCs w:val="24"/>
              </w:rPr>
            </w:pPr>
            <w:r>
              <w:rPr>
                <w:rFonts w:hint="eastAsia" w:ascii="仿宋" w:hAnsi="仿宋" w:eastAsia="仿宋" w:cs="仿宋"/>
                <w:spacing w:val="-1"/>
                <w:sz w:val="24"/>
                <w:szCs w:val="24"/>
                <w:lang w:eastAsia="zh-CN"/>
              </w:rPr>
              <w:t>97067</w:t>
            </w:r>
            <w:r>
              <w:rPr>
                <w:rFonts w:ascii="仿宋" w:hAnsi="仿宋" w:eastAsia="仿宋" w:cs="仿宋"/>
                <w:spacing w:val="-1"/>
                <w:sz w:val="24"/>
                <w:szCs w:val="24"/>
              </w:rPr>
              <w:t>m</w:t>
            </w:r>
            <w:r>
              <w:rPr>
                <w:rFonts w:ascii="仿宋" w:hAnsi="仿宋" w:eastAsia="仿宋" w:cs="仿宋"/>
                <w:spacing w:val="-1"/>
                <w:position w:val="10"/>
                <w:sz w:val="24"/>
                <w:szCs w:val="24"/>
              </w:rPr>
              <w:t>3</w:t>
            </w:r>
          </w:p>
          <w:p w14:paraId="6F0353E7">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ascii="仿宋" w:hAnsi="仿宋" w:eastAsia="仿宋" w:cs="仿宋"/>
                <w:sz w:val="24"/>
                <w:szCs w:val="24"/>
              </w:rPr>
            </w:pPr>
            <w:r>
              <w:rPr>
                <w:rFonts w:ascii="仿宋" w:hAnsi="仿宋" w:eastAsia="仿宋" w:cs="仿宋"/>
                <w:spacing w:val="-7"/>
                <w:sz w:val="24"/>
                <w:szCs w:val="24"/>
              </w:rPr>
              <w:t>(</w:t>
            </w:r>
            <w:r>
              <w:rPr>
                <w:rFonts w:hint="eastAsia" w:ascii="仿宋" w:hAnsi="仿宋" w:eastAsia="仿宋" w:cs="仿宋"/>
                <w:spacing w:val="-7"/>
                <w:sz w:val="24"/>
                <w:szCs w:val="24"/>
                <w:lang w:eastAsia="zh-CN"/>
              </w:rPr>
              <w:t>193163</w:t>
            </w:r>
            <w:r>
              <w:rPr>
                <w:rFonts w:ascii="仿宋" w:hAnsi="仿宋" w:eastAsia="仿宋" w:cs="仿宋"/>
                <w:spacing w:val="-7"/>
                <w:sz w:val="24"/>
                <w:szCs w:val="24"/>
              </w:rPr>
              <w:t>吨)</w:t>
            </w:r>
          </w:p>
        </w:tc>
        <w:tc>
          <w:tcPr>
            <w:tcW w:w="2272" w:type="dxa"/>
            <w:noWrap w:val="0"/>
            <w:vAlign w:val="center"/>
          </w:tcPr>
          <w:p w14:paraId="77A87588">
            <w:pPr>
              <w:keepNext w:val="0"/>
              <w:keepLines w:val="0"/>
              <w:pageBreakBefore w:val="0"/>
              <w:widowControl w:val="0"/>
              <w:kinsoku/>
              <w:wordWrap/>
              <w:overflowPunct/>
              <w:topLinePunct w:val="0"/>
              <w:autoSpaceDE/>
              <w:autoSpaceDN/>
              <w:bidi w:val="0"/>
              <w:adjustRightInd/>
              <w:snapToGrid/>
              <w:spacing w:line="373" w:lineRule="auto"/>
              <w:ind w:left="0" w:right="0" w:firstLine="134"/>
              <w:jc w:val="center"/>
              <w:textAlignment w:val="auto"/>
              <w:rPr>
                <w:rFonts w:ascii="仿宋" w:hAnsi="仿宋" w:eastAsia="仿宋" w:cs="仿宋"/>
                <w:spacing w:val="-4"/>
                <w:position w:val="10"/>
                <w:sz w:val="24"/>
                <w:szCs w:val="24"/>
              </w:rPr>
            </w:pPr>
            <w:r>
              <w:rPr>
                <w:rFonts w:ascii="仿宋" w:hAnsi="仿宋" w:eastAsia="仿宋" w:cs="仿宋"/>
                <w:spacing w:val="-4"/>
                <w:sz w:val="24"/>
                <w:szCs w:val="24"/>
              </w:rPr>
              <w:t>1603m</w:t>
            </w:r>
            <w:r>
              <w:rPr>
                <w:rFonts w:ascii="仿宋" w:hAnsi="仿宋" w:eastAsia="仿宋" w:cs="仿宋"/>
                <w:spacing w:val="-4"/>
                <w:position w:val="10"/>
                <w:sz w:val="24"/>
                <w:szCs w:val="24"/>
              </w:rPr>
              <w:t>3</w:t>
            </w:r>
          </w:p>
          <w:p w14:paraId="317EF5B5">
            <w:pPr>
              <w:keepNext w:val="0"/>
              <w:keepLines w:val="0"/>
              <w:pageBreakBefore w:val="0"/>
              <w:widowControl w:val="0"/>
              <w:kinsoku/>
              <w:wordWrap/>
              <w:overflowPunct/>
              <w:topLinePunct w:val="0"/>
              <w:autoSpaceDE/>
              <w:autoSpaceDN/>
              <w:bidi w:val="0"/>
              <w:adjustRightInd/>
              <w:snapToGrid/>
              <w:spacing w:line="373" w:lineRule="auto"/>
              <w:ind w:left="0" w:right="0" w:firstLine="134"/>
              <w:jc w:val="center"/>
              <w:textAlignment w:val="auto"/>
              <w:rPr>
                <w:rFonts w:ascii="仿宋" w:hAnsi="仿宋" w:eastAsia="仿宋" w:cs="仿宋"/>
                <w:sz w:val="24"/>
                <w:szCs w:val="24"/>
              </w:rPr>
            </w:pPr>
            <w:r>
              <w:rPr>
                <w:rFonts w:ascii="仿宋" w:hAnsi="仿宋" w:eastAsia="仿宋" w:cs="仿宋"/>
                <w:spacing w:val="-9"/>
                <w:sz w:val="24"/>
                <w:szCs w:val="24"/>
              </w:rPr>
              <w:t>(3206</w:t>
            </w:r>
            <w:r>
              <w:rPr>
                <w:rFonts w:ascii="仿宋" w:hAnsi="仿宋" w:eastAsia="仿宋" w:cs="仿宋"/>
                <w:spacing w:val="-33"/>
                <w:sz w:val="24"/>
                <w:szCs w:val="24"/>
              </w:rPr>
              <w:t xml:space="preserve"> </w:t>
            </w:r>
            <w:r>
              <w:rPr>
                <w:rFonts w:ascii="仿宋" w:hAnsi="仿宋" w:eastAsia="仿宋" w:cs="仿宋"/>
                <w:spacing w:val="-9"/>
                <w:sz w:val="24"/>
                <w:szCs w:val="24"/>
              </w:rPr>
              <w:t>吨)</w:t>
            </w:r>
          </w:p>
        </w:tc>
      </w:tr>
    </w:tbl>
    <w:p w14:paraId="0AE7FA3D"/>
    <w:p w14:paraId="60AFFBFB">
      <w:pPr>
        <w:rPr>
          <w:rFonts w:hint="default"/>
          <w:lang w:val="en-US" w:eastAsia="zh-CN"/>
        </w:rPr>
      </w:pPr>
    </w:p>
    <w:p w14:paraId="7F0AC0C9">
      <w:pPr>
        <w:pStyle w:val="3"/>
        <w:rPr>
          <w:rFonts w:hint="eastAsia"/>
          <w:lang w:val="en-US" w:eastAsia="zh-CN"/>
        </w:rPr>
      </w:pPr>
    </w:p>
    <w:p w14:paraId="6C9D29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AAE78BC-6DEA-4E04-A89A-77B7AAC6CEE1}"/>
  </w:font>
  <w:font w:name="黑体">
    <w:panose1 w:val="02010609060101010101"/>
    <w:charset w:val="86"/>
    <w:family w:val="auto"/>
    <w:pitch w:val="default"/>
    <w:sig w:usb0="800002BF" w:usb1="38CF7CFA" w:usb2="00000016" w:usb3="00000000" w:csb0="00040001" w:csb1="00000000"/>
    <w:embedRegular r:id="rId2" w:fontKey="{89067B4C-9DB9-4E42-BCBC-3E929BF7234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97C21A35-FFE1-4968-9EBB-F6432A1DA7E4}"/>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4" w:fontKey="{50691148-7AAE-4E54-83AE-01D3D7D5D471}"/>
  </w:font>
  <w:font w:name="方正小标宋简体">
    <w:panose1 w:val="02000000000000000000"/>
    <w:charset w:val="86"/>
    <w:family w:val="auto"/>
    <w:pitch w:val="default"/>
    <w:sig w:usb0="00000001" w:usb1="08000000" w:usb2="00000000" w:usb3="00000000" w:csb0="00040000" w:csb1="00000000"/>
    <w:embedRegular r:id="rId5" w:fontKey="{09F2EF87-FD37-40B4-8F4F-EBA268AA8BE7}"/>
  </w:font>
  <w:font w:name="仿宋_GB2312">
    <w:altName w:val="仿宋"/>
    <w:panose1 w:val="02010609030101010101"/>
    <w:charset w:val="86"/>
    <w:family w:val="modern"/>
    <w:pitch w:val="default"/>
    <w:sig w:usb0="00000000" w:usb1="00000000" w:usb2="00000000" w:usb3="00000000" w:csb0="00040000" w:csb1="00000000"/>
    <w:embedRegular r:id="rId6" w:fontKey="{DE0901B8-156C-4AB6-8D7E-6326A566C5B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B17EE"/>
    <w:multiLevelType w:val="singleLevel"/>
    <w:tmpl w:val="80EB17EE"/>
    <w:lvl w:ilvl="0" w:tentative="0">
      <w:start w:val="14"/>
      <w:numFmt w:val="chineseCounting"/>
      <w:suff w:val="space"/>
      <w:lvlText w:val="第%1条"/>
      <w:lvlJc w:val="left"/>
      <w:rPr>
        <w:rFonts w:hint="eastAsia"/>
        <w:b/>
        <w:bCs/>
      </w:rPr>
    </w:lvl>
  </w:abstractNum>
  <w:abstractNum w:abstractNumId="1">
    <w:nsid w:val="B07EC251"/>
    <w:multiLevelType w:val="singleLevel"/>
    <w:tmpl w:val="B07EC251"/>
    <w:lvl w:ilvl="0" w:tentative="0">
      <w:start w:val="1"/>
      <w:numFmt w:val="chineseCounting"/>
      <w:suff w:val="nothing"/>
      <w:lvlText w:val="（%1）"/>
      <w:lvlJc w:val="left"/>
      <w:rPr>
        <w:rFonts w:hint="eastAsia"/>
      </w:rPr>
    </w:lvl>
  </w:abstractNum>
  <w:abstractNum w:abstractNumId="2">
    <w:nsid w:val="EEE1ADDA"/>
    <w:multiLevelType w:val="singleLevel"/>
    <w:tmpl w:val="EEE1ADDA"/>
    <w:lvl w:ilvl="0" w:tentative="0">
      <w:start w:val="4"/>
      <w:numFmt w:val="chineseCounting"/>
      <w:suff w:val="space"/>
      <w:lvlText w:val="第%1条"/>
      <w:lvlJc w:val="left"/>
      <w:rPr>
        <w:rFonts w:hint="eastAsia"/>
        <w:b/>
        <w:bCs/>
      </w:rPr>
    </w:lvl>
  </w:abstractNum>
  <w:abstractNum w:abstractNumId="3">
    <w:nsid w:val="3113469D"/>
    <w:multiLevelType w:val="singleLevel"/>
    <w:tmpl w:val="3113469D"/>
    <w:lvl w:ilvl="0" w:tentative="0">
      <w:start w:val="4"/>
      <w:numFmt w:val="chineseCounting"/>
      <w:suff w:val="space"/>
      <w:lvlText w:val="第%1条"/>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57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widowControl/>
      <w:spacing w:beforeAutospacing="1" w:afterAutospacing="1"/>
      <w:jc w:val="left"/>
      <w:outlineLvl w:val="1"/>
    </w:pPr>
    <w:rPr>
      <w:rFonts w:ascii="宋体" w:hAnsi="宋体" w:cs="宋体"/>
      <w:b/>
      <w:bCs/>
      <w:kern w:val="0"/>
      <w:sz w:val="36"/>
      <w:szCs w:val="36"/>
    </w:rPr>
  </w:style>
  <w:style w:type="paragraph" w:styleId="3">
    <w:name w:val="heading 6"/>
    <w:basedOn w:val="1"/>
    <w:next w:val="1"/>
    <w:qFormat/>
    <w:uiPriority w:val="9"/>
    <w:pPr>
      <w:keepNext/>
      <w:keepLines/>
      <w:spacing w:before="240" w:after="64" w:line="320" w:lineRule="auto"/>
      <w:outlineLvl w:val="5"/>
    </w:pPr>
    <w:rPr>
      <w:rFonts w:ascii="等线 Light" w:hAnsi="等线 Light" w:eastAsia="等线 Light"/>
      <w:b/>
      <w:bCs/>
      <w:sz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Plain Text"/>
    <w:basedOn w:val="1"/>
    <w:qFormat/>
    <w:uiPriority w:val="0"/>
    <w:rPr>
      <w:rFonts w:ascii="宋体" w:hAnsi="Courier New"/>
    </w:rPr>
  </w:style>
  <w:style w:type="paragraph" w:styleId="6">
    <w:name w:val="footer"/>
    <w:basedOn w:val="1"/>
    <w:qFormat/>
    <w:uiPriority w:val="99"/>
    <w:pPr>
      <w:tabs>
        <w:tab w:val="center" w:pos="4153"/>
        <w:tab w:val="right" w:pos="8306"/>
      </w:tabs>
      <w:snapToGrid w:val="0"/>
      <w:jc w:val="left"/>
    </w:pPr>
    <w:rPr>
      <w:sz w:val="18"/>
      <w:szCs w:val="18"/>
    </w:rPr>
  </w:style>
  <w:style w:type="paragraph" w:customStyle="1" w:styleId="9">
    <w:name w:val="普通(网站) Char"/>
    <w:basedOn w:val="1"/>
    <w:autoRedefine/>
    <w:qFormat/>
    <w:uiPriority w:val="99"/>
    <w:pPr>
      <w:widowControl/>
      <w:spacing w:beforeAutospacing="1" w:afterAutospacing="1" w:line="360" w:lineRule="auto"/>
      <w:jc w:val="left"/>
    </w:pPr>
    <w:rPr>
      <w:rFonts w:ascii="宋体" w:hAnsi="宋体" w:cs="宋体"/>
      <w:kern w:val="0"/>
      <w:sz w:val="24"/>
      <w:szCs w:val="24"/>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Times New Roman" w:hAnsi="Times New Roman" w:eastAsia="Times New Roman" w:cs="Times New Roman"/>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2025-07-02T07:57:31Z</dcterms:created>
  <dc:creator>USER</dc:creator>
  <cp:lastModifiedBy>阳明拍卖</cp:lastModifiedBy>
  <dcterms:modified xsi:type="dcterms:W3CDTF">2025-07-02T08:00:34Z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eyJoZGlkIjoiOTE4MzliMTcwNWY4NjBlY2Q1YmRkYzJiMjI1YWFhNDAiLCJ1c2VySWQiOiI2NDI4NjU5NTMifQ==</vt:lpwstr>
  </property>
  <property fmtid="{D5CDD505-2E9C-101B-9397-08002B2CF9AE}" pid="4" name="ICV">
    <vt:lpwstr>CB458BA3BEB44FDEBC3CD457DE5A1BBF_12</vt:lpwstr>
  </property>
</Properties>
</file>