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F106B">
      <w:pPr>
        <w:spacing w:line="440" w:lineRule="atLeast"/>
        <w:jc w:val="center"/>
        <w:rPr>
          <w:rFonts w:ascii="宋体" w:hAnsi="宋体"/>
          <w:b/>
          <w:bCs/>
          <w:spacing w:val="60"/>
          <w:sz w:val="52"/>
          <w:szCs w:val="52"/>
        </w:rPr>
      </w:pPr>
      <w:r>
        <w:rPr>
          <w:rFonts w:hint="eastAsia" w:ascii="宋体" w:hAnsi="宋体"/>
          <w:b/>
          <w:bCs/>
          <w:spacing w:val="60"/>
          <w:sz w:val="52"/>
          <w:szCs w:val="52"/>
        </w:rPr>
        <w:t>宁波阳明拍卖有限公司</w:t>
      </w:r>
    </w:p>
    <w:p w14:paraId="333C4523">
      <w:pPr>
        <w:spacing w:line="440" w:lineRule="atLeast"/>
        <w:jc w:val="center"/>
        <w:rPr>
          <w:rFonts w:hint="eastAsia" w:ascii="宋体" w:hAnsi="宋体"/>
          <w:b/>
          <w:bCs/>
          <w:spacing w:val="60"/>
          <w:sz w:val="30"/>
          <w:szCs w:val="30"/>
        </w:rPr>
      </w:pPr>
    </w:p>
    <w:p w14:paraId="0ABABAD1">
      <w:pPr>
        <w:spacing w:line="440" w:lineRule="atLeast"/>
        <w:jc w:val="center"/>
        <w:rPr>
          <w:rFonts w:hint="eastAsia" w:ascii="宋体" w:hAnsi="宋体"/>
          <w:b/>
          <w:sz w:val="52"/>
          <w:szCs w:val="52"/>
        </w:rPr>
      </w:pPr>
      <w:r>
        <w:rPr>
          <w:rFonts w:hint="eastAsia" w:ascii="宋体" w:hAnsi="宋体"/>
          <w:b/>
          <w:sz w:val="52"/>
          <w:szCs w:val="52"/>
        </w:rPr>
        <w:t>拍</w:t>
      </w:r>
    </w:p>
    <w:p w14:paraId="685F225E">
      <w:pPr>
        <w:spacing w:line="440" w:lineRule="atLeast"/>
        <w:jc w:val="center"/>
        <w:rPr>
          <w:rFonts w:hint="eastAsia" w:ascii="宋体" w:hAnsi="宋体"/>
          <w:b/>
          <w:sz w:val="52"/>
          <w:szCs w:val="52"/>
        </w:rPr>
      </w:pPr>
      <w:r>
        <w:rPr>
          <w:rFonts w:hint="eastAsia" w:ascii="宋体" w:hAnsi="宋体"/>
          <w:b/>
          <w:sz w:val="52"/>
          <w:szCs w:val="52"/>
        </w:rPr>
        <w:t xml:space="preserve"> </w:t>
      </w:r>
    </w:p>
    <w:p w14:paraId="313B45B1">
      <w:pPr>
        <w:spacing w:line="440" w:lineRule="atLeast"/>
        <w:jc w:val="center"/>
        <w:rPr>
          <w:rFonts w:hint="eastAsia" w:ascii="宋体" w:hAnsi="宋体"/>
          <w:b/>
          <w:sz w:val="52"/>
          <w:szCs w:val="52"/>
        </w:rPr>
      </w:pPr>
      <w:r>
        <w:rPr>
          <w:rFonts w:hint="eastAsia" w:ascii="宋体" w:hAnsi="宋体"/>
          <w:b/>
          <w:sz w:val="52"/>
          <w:szCs w:val="52"/>
        </w:rPr>
        <w:t>卖</w:t>
      </w:r>
    </w:p>
    <w:p w14:paraId="609D4E18">
      <w:pPr>
        <w:spacing w:line="440" w:lineRule="atLeast"/>
        <w:jc w:val="center"/>
        <w:rPr>
          <w:rFonts w:hint="eastAsia" w:ascii="宋体" w:hAnsi="宋体"/>
          <w:b/>
          <w:sz w:val="52"/>
          <w:szCs w:val="52"/>
        </w:rPr>
      </w:pPr>
    </w:p>
    <w:p w14:paraId="5AC78680">
      <w:pPr>
        <w:spacing w:line="440" w:lineRule="atLeast"/>
        <w:jc w:val="center"/>
        <w:rPr>
          <w:rFonts w:hint="eastAsia" w:ascii="宋体" w:hAnsi="宋体"/>
          <w:b/>
          <w:sz w:val="52"/>
          <w:szCs w:val="52"/>
        </w:rPr>
      </w:pPr>
      <w:r>
        <w:rPr>
          <w:rFonts w:hint="eastAsia" w:ascii="宋体" w:hAnsi="宋体"/>
          <w:b/>
          <w:sz w:val="52"/>
          <w:szCs w:val="52"/>
        </w:rPr>
        <w:t>须</w:t>
      </w:r>
    </w:p>
    <w:p w14:paraId="6DBA4238">
      <w:pPr>
        <w:spacing w:line="440" w:lineRule="atLeast"/>
        <w:jc w:val="center"/>
        <w:rPr>
          <w:rFonts w:hint="eastAsia" w:ascii="宋体" w:hAnsi="宋体"/>
          <w:b/>
          <w:sz w:val="52"/>
          <w:szCs w:val="52"/>
        </w:rPr>
      </w:pPr>
    </w:p>
    <w:p w14:paraId="384A2A9C">
      <w:pPr>
        <w:spacing w:line="440" w:lineRule="atLeast"/>
        <w:jc w:val="center"/>
        <w:rPr>
          <w:rFonts w:hint="eastAsia" w:ascii="宋体" w:hAnsi="宋体"/>
          <w:b/>
          <w:sz w:val="52"/>
          <w:szCs w:val="52"/>
        </w:rPr>
      </w:pPr>
      <w:r>
        <w:rPr>
          <w:rFonts w:hint="eastAsia" w:ascii="宋体" w:hAnsi="宋体"/>
          <w:b/>
          <w:sz w:val="52"/>
          <w:szCs w:val="52"/>
        </w:rPr>
        <w:t>知</w:t>
      </w:r>
    </w:p>
    <w:p w14:paraId="737F3D8D">
      <w:pPr>
        <w:spacing w:line="440" w:lineRule="atLeast"/>
        <w:jc w:val="center"/>
        <w:rPr>
          <w:rFonts w:hint="eastAsia" w:ascii="宋体" w:hAnsi="宋体"/>
          <w:b/>
          <w:bCs/>
          <w:sz w:val="52"/>
          <w:szCs w:val="52"/>
        </w:rPr>
      </w:pPr>
    </w:p>
    <w:p w14:paraId="5F04ACC5">
      <w:pPr>
        <w:spacing w:line="600" w:lineRule="exact"/>
        <w:ind w:left="1927" w:leftChars="136" w:right="-107" w:rightChars="-51" w:hanging="1641" w:hangingChars="681"/>
        <w:rPr>
          <w:rFonts w:hint="eastAsia"/>
          <w:b/>
          <w:bCs/>
          <w:sz w:val="24"/>
        </w:rPr>
      </w:pPr>
    </w:p>
    <w:p w14:paraId="0C04B62C">
      <w:pPr>
        <w:spacing w:line="600" w:lineRule="exact"/>
        <w:ind w:left="1927" w:leftChars="136" w:right="-107" w:rightChars="-51" w:hanging="1641" w:hangingChars="681"/>
        <w:rPr>
          <w:rFonts w:hint="eastAsia" w:ascii="宋体" w:hAnsi="宋体" w:cs="宋体"/>
          <w:kern w:val="0"/>
          <w:szCs w:val="21"/>
        </w:rPr>
      </w:pPr>
      <w:r>
        <w:rPr>
          <w:rFonts w:hint="eastAsia"/>
          <w:b/>
          <w:bCs/>
          <w:sz w:val="24"/>
        </w:rPr>
        <w:t>拍卖会名称</w:t>
      </w:r>
      <w:r>
        <w:rPr>
          <w:rFonts w:hint="eastAsia" w:ascii="宋体" w:hAnsi="宋体" w:cs="楷体_GB2312"/>
          <w:sz w:val="24"/>
        </w:rPr>
        <w:t>：</w:t>
      </w:r>
      <w:r>
        <w:rPr>
          <w:rFonts w:hint="eastAsia" w:ascii="宋体" w:hAnsi="宋体" w:cs="楷体_GB2312"/>
          <w:sz w:val="24"/>
          <w:lang w:val="en-US" w:eastAsia="zh-CN"/>
        </w:rPr>
        <w:t>余姚市城区安馨华苑、黄山公寓38套住宅及附属房</w:t>
      </w:r>
      <w:r>
        <w:rPr>
          <w:rFonts w:hint="eastAsia" w:ascii="宋体" w:hAnsi="宋体" w:cs="宋体"/>
          <w:kern w:val="0"/>
          <w:sz w:val="24"/>
        </w:rPr>
        <w:t>拍卖会</w:t>
      </w:r>
    </w:p>
    <w:p w14:paraId="6E575038">
      <w:pPr>
        <w:spacing w:after="93" w:afterLines="30" w:line="500" w:lineRule="exact"/>
        <w:ind w:firstLine="284" w:firstLineChars="118"/>
        <w:rPr>
          <w:rFonts w:hint="eastAsia" w:ascii="宋体" w:hAnsi="宋体" w:eastAsia="宋体"/>
          <w:b/>
          <w:sz w:val="24"/>
          <w:lang w:eastAsia="zh-CN"/>
        </w:rPr>
      </w:pPr>
      <w:r>
        <w:rPr>
          <w:rFonts w:hint="eastAsia" w:ascii="宋体" w:hAnsi="宋体"/>
          <w:b/>
          <w:sz w:val="24"/>
        </w:rPr>
        <w:t>拍卖标的：</w:t>
      </w:r>
      <w:r>
        <w:rPr>
          <w:rFonts w:hint="eastAsia" w:ascii="宋体" w:hAnsi="宋体"/>
          <w:b w:val="0"/>
          <w:bCs/>
          <w:sz w:val="24"/>
          <w:lang w:eastAsia="zh-CN"/>
        </w:rPr>
        <w:t>余姚市城区安馨华苑、黄山公寓38套住宅及附属房</w:t>
      </w:r>
    </w:p>
    <w:p w14:paraId="4CDBEE24">
      <w:pPr>
        <w:spacing w:after="93" w:afterLines="30" w:line="500" w:lineRule="exact"/>
        <w:ind w:firstLine="284" w:firstLineChars="118"/>
        <w:rPr>
          <w:rFonts w:hint="eastAsia" w:ascii="宋体" w:hAnsi="宋体" w:cs="宋体"/>
          <w:kern w:val="0"/>
          <w:sz w:val="24"/>
        </w:rPr>
      </w:pPr>
      <w:r>
        <w:rPr>
          <w:rFonts w:hint="eastAsia" w:ascii="宋体" w:hAnsi="宋体" w:cs="宋体"/>
          <w:b/>
          <w:kern w:val="0"/>
          <w:sz w:val="24"/>
        </w:rPr>
        <w:t>拍卖会时间：</w:t>
      </w:r>
      <w:r>
        <w:rPr>
          <w:rFonts w:hint="eastAsia" w:ascii="宋体" w:hAnsi="宋体" w:cs="宋体"/>
          <w:kern w:val="0"/>
          <w:sz w:val="24"/>
        </w:rPr>
        <w:t>20</w:t>
      </w:r>
      <w:r>
        <w:rPr>
          <w:rFonts w:hint="eastAsia" w:ascii="宋体" w:hAnsi="宋体" w:cs="宋体"/>
          <w:kern w:val="0"/>
          <w:sz w:val="24"/>
          <w:lang w:val="en-US" w:eastAsia="zh-CN"/>
        </w:rPr>
        <w:t>25</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9</w:t>
      </w:r>
      <w:r>
        <w:rPr>
          <w:rFonts w:hint="eastAsia" w:ascii="宋体" w:hAnsi="宋体" w:cs="宋体"/>
          <w:kern w:val="0"/>
          <w:sz w:val="24"/>
        </w:rPr>
        <w:t>日</w:t>
      </w:r>
      <w:r>
        <w:rPr>
          <w:rFonts w:hint="eastAsia" w:ascii="宋体" w:hAnsi="宋体" w:cs="宋体"/>
          <w:kern w:val="0"/>
          <w:sz w:val="24"/>
          <w:szCs w:val="24"/>
          <w:lang w:val="en-US" w:eastAsia="zh-CN"/>
        </w:rPr>
        <w:t>上午9:30</w:t>
      </w:r>
    </w:p>
    <w:p w14:paraId="08648136">
      <w:pPr>
        <w:spacing w:after="93" w:afterLines="30" w:line="500" w:lineRule="exact"/>
        <w:ind w:firstLine="284" w:firstLineChars="118"/>
        <w:rPr>
          <w:rFonts w:hint="eastAsia" w:ascii="宋体" w:hAnsi="宋体" w:eastAsia="宋体" w:cs="宋体"/>
          <w:b/>
          <w:kern w:val="0"/>
          <w:sz w:val="24"/>
          <w:lang w:eastAsia="zh-CN"/>
        </w:rPr>
      </w:pPr>
      <w:r>
        <w:rPr>
          <w:rFonts w:hint="eastAsia" w:ascii="宋体" w:hAnsi="宋体" w:cs="宋体"/>
          <w:b/>
          <w:kern w:val="0"/>
          <w:sz w:val="24"/>
        </w:rPr>
        <w:t>拍卖会地点：</w:t>
      </w:r>
      <w:r>
        <w:rPr>
          <w:rFonts w:hint="eastAsia" w:ascii="宋体" w:hAnsi="宋体" w:cs="宋体"/>
          <w:kern w:val="0"/>
          <w:sz w:val="24"/>
        </w:rPr>
        <w:t>余姚市</w:t>
      </w:r>
      <w:r>
        <w:rPr>
          <w:rFonts w:hint="eastAsia" w:ascii="宋体" w:hAnsi="宋体" w:cs="宋体"/>
          <w:kern w:val="0"/>
          <w:sz w:val="24"/>
          <w:lang w:eastAsia="zh-CN"/>
        </w:rPr>
        <w:t>政务</w:t>
      </w:r>
      <w:r>
        <w:rPr>
          <w:rFonts w:hint="eastAsia" w:ascii="宋体" w:hAnsi="宋体" w:cs="宋体"/>
          <w:kern w:val="0"/>
          <w:sz w:val="24"/>
        </w:rPr>
        <w:t>服务中心4楼开标室</w:t>
      </w:r>
      <w:r>
        <w:rPr>
          <w:rFonts w:hint="eastAsia" w:ascii="宋体" w:hAnsi="宋体" w:cs="宋体"/>
          <w:kern w:val="0"/>
          <w:sz w:val="24"/>
          <w:lang w:eastAsia="zh-CN"/>
        </w:rPr>
        <w:t>&lt;</w:t>
      </w:r>
      <w:r>
        <w:rPr>
          <w:rFonts w:hint="eastAsia" w:ascii="宋体" w:hAnsi="宋体" w:cs="宋体"/>
          <w:kern w:val="0"/>
          <w:sz w:val="24"/>
          <w:lang w:val="en-US" w:eastAsia="zh-CN"/>
        </w:rPr>
        <w:t>1</w:t>
      </w:r>
      <w:r>
        <w:rPr>
          <w:rFonts w:hint="eastAsia" w:ascii="宋体" w:hAnsi="宋体" w:cs="宋体"/>
          <w:kern w:val="0"/>
          <w:sz w:val="24"/>
          <w:lang w:eastAsia="zh-CN"/>
        </w:rPr>
        <w:t>&gt;</w:t>
      </w:r>
    </w:p>
    <w:p w14:paraId="644EBAE3">
      <w:pPr>
        <w:spacing w:after="93" w:afterLines="30" w:line="500" w:lineRule="exact"/>
        <w:ind w:firstLine="284" w:firstLineChars="118"/>
        <w:rPr>
          <w:rFonts w:hint="eastAsia" w:ascii="宋体" w:hAnsi="宋体" w:cs="宋体"/>
          <w:kern w:val="0"/>
          <w:sz w:val="24"/>
          <w:lang w:eastAsia="zh-CN"/>
        </w:rPr>
      </w:pPr>
      <w:r>
        <w:rPr>
          <w:rFonts w:hint="eastAsia" w:ascii="宋体" w:hAnsi="宋体" w:cs="宋体"/>
          <w:b/>
          <w:kern w:val="0"/>
          <w:sz w:val="24"/>
        </w:rPr>
        <w:t>拍卖方式：</w:t>
      </w:r>
      <w:r>
        <w:rPr>
          <w:rFonts w:hint="eastAsia" w:ascii="宋体" w:hAnsi="宋体" w:cs="宋体"/>
          <w:kern w:val="0"/>
          <w:sz w:val="24"/>
        </w:rPr>
        <w:t>现场</w:t>
      </w:r>
      <w:r>
        <w:rPr>
          <w:rFonts w:hint="eastAsia" w:ascii="宋体" w:hAnsi="宋体" w:cs="宋体"/>
          <w:kern w:val="0"/>
          <w:sz w:val="24"/>
          <w:lang w:eastAsia="zh-CN"/>
        </w:rPr>
        <w:t>拍卖</w:t>
      </w:r>
    </w:p>
    <w:p w14:paraId="36525D16">
      <w:pPr>
        <w:spacing w:after="93" w:afterLines="30" w:line="500" w:lineRule="exact"/>
        <w:ind w:firstLine="284" w:firstLineChars="118"/>
        <w:rPr>
          <w:rFonts w:hint="eastAsia" w:ascii="宋体" w:hAnsi="宋体" w:cs="宋体"/>
          <w:b/>
          <w:kern w:val="0"/>
          <w:sz w:val="24"/>
        </w:rPr>
      </w:pPr>
    </w:p>
    <w:p w14:paraId="23516D5F">
      <w:pPr>
        <w:spacing w:after="93" w:afterLines="30" w:line="500" w:lineRule="exact"/>
        <w:ind w:firstLine="240" w:firstLineChars="100"/>
        <w:rPr>
          <w:rFonts w:ascii="宋体" w:hAnsi="宋体"/>
          <w:sz w:val="24"/>
        </w:rPr>
      </w:pPr>
      <w:r>
        <w:rPr>
          <w:rFonts w:hint="eastAsia" w:ascii="宋体" w:hAnsi="宋体"/>
          <w:sz w:val="24"/>
        </w:rPr>
        <w:t>公司地址：</w:t>
      </w:r>
      <w:r>
        <w:rPr>
          <w:rFonts w:hint="eastAsia" w:ascii="宋体" w:hAnsi="宋体" w:eastAsia="宋体" w:cs="宋体"/>
          <w:sz w:val="24"/>
          <w:lang w:eastAsia="zh-CN"/>
        </w:rPr>
        <w:t>余姚市谭家岭东路2号南雷大厦29楼</w:t>
      </w:r>
    </w:p>
    <w:p w14:paraId="3E56048C">
      <w:pPr>
        <w:spacing w:after="93" w:afterLines="30" w:line="500" w:lineRule="exact"/>
        <w:ind w:firstLine="283" w:firstLineChars="118"/>
        <w:rPr>
          <w:rFonts w:hint="eastAsia" w:ascii="宋体" w:hAnsi="宋体"/>
          <w:sz w:val="24"/>
        </w:rPr>
      </w:pPr>
      <w:r>
        <w:rPr>
          <w:rFonts w:hint="eastAsia" w:ascii="宋体" w:hAnsi="宋体"/>
          <w:sz w:val="24"/>
        </w:rPr>
        <w:t>公司电话：0574-</w:t>
      </w:r>
      <w:r>
        <w:rPr>
          <w:rFonts w:hint="eastAsia" w:ascii="宋体" w:hAnsi="宋体" w:cs="宋体"/>
          <w:kern w:val="0"/>
          <w:sz w:val="24"/>
        </w:rPr>
        <w:t>6265</w:t>
      </w:r>
      <w:r>
        <w:rPr>
          <w:rFonts w:hint="eastAsia" w:ascii="宋体" w:hAnsi="宋体" w:cs="宋体"/>
          <w:kern w:val="0"/>
          <w:sz w:val="24"/>
          <w:lang w:val="en-US" w:eastAsia="zh-CN"/>
        </w:rPr>
        <w:t>0662</w:t>
      </w:r>
      <w:r>
        <w:rPr>
          <w:rFonts w:hint="eastAsia" w:ascii="宋体" w:hAnsi="宋体"/>
          <w:sz w:val="24"/>
          <w:lang w:val="en-US" w:eastAsia="zh-CN"/>
        </w:rPr>
        <w:t>、</w:t>
      </w:r>
      <w:r>
        <w:rPr>
          <w:rFonts w:hint="eastAsia" w:ascii="宋体" w:hAnsi="宋体"/>
          <w:sz w:val="24"/>
        </w:rPr>
        <w:t>62724638       传真：0574-62651961</w:t>
      </w:r>
    </w:p>
    <w:p w14:paraId="48C64175">
      <w:pPr>
        <w:keepNext w:val="0"/>
        <w:keepLines w:val="0"/>
        <w:pageBreakBefore w:val="0"/>
        <w:kinsoku/>
        <w:wordWrap/>
        <w:overflowPunct/>
        <w:topLinePunct w:val="0"/>
        <w:autoSpaceDE/>
        <w:autoSpaceDN/>
        <w:bidi w:val="0"/>
        <w:adjustRightInd/>
        <w:snapToGrid/>
        <w:spacing w:line="360" w:lineRule="atLeast"/>
        <w:jc w:val="center"/>
        <w:textAlignment w:val="auto"/>
        <w:rPr>
          <w:rFonts w:hint="eastAsia" w:ascii="宋体" w:hAnsi="宋体"/>
          <w:b/>
          <w:sz w:val="44"/>
          <w:szCs w:val="44"/>
        </w:rPr>
      </w:pPr>
      <w:r>
        <w:rPr>
          <w:rFonts w:hint="eastAsia" w:ascii="宋体" w:hAnsi="宋体"/>
          <w:b/>
          <w:sz w:val="44"/>
          <w:szCs w:val="44"/>
        </w:rPr>
        <w:t>拍  卖  须  知</w:t>
      </w:r>
    </w:p>
    <w:p w14:paraId="1ED5C2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sz w:val="28"/>
          <w:szCs w:val="28"/>
        </w:rPr>
      </w:pPr>
      <w:r>
        <w:rPr>
          <w:rFonts w:hint="eastAsia" w:ascii="宋体" w:hAnsi="宋体"/>
          <w:b/>
          <w:sz w:val="28"/>
          <w:szCs w:val="28"/>
        </w:rPr>
        <w:t>总 则</w:t>
      </w:r>
    </w:p>
    <w:p w14:paraId="7D4F2247">
      <w:pPr>
        <w:keepNext w:val="0"/>
        <w:keepLines w:val="0"/>
        <w:pageBreakBefore w:val="0"/>
        <w:widowControl w:val="0"/>
        <w:kinsoku/>
        <w:wordWrap/>
        <w:overflowPunct/>
        <w:topLinePunct w:val="0"/>
        <w:autoSpaceDE/>
        <w:autoSpaceDN/>
        <w:bidi w:val="0"/>
        <w:adjustRightInd/>
        <w:snapToGrid/>
        <w:spacing w:line="520" w:lineRule="exact"/>
        <w:ind w:right="0" w:rightChars="0" w:firstLine="482" w:firstLineChars="200"/>
        <w:textAlignment w:val="auto"/>
        <w:rPr>
          <w:rFonts w:hint="eastAsia" w:ascii="宋体" w:hAnsi="宋体"/>
          <w:sz w:val="24"/>
        </w:rPr>
      </w:pPr>
      <w:r>
        <w:rPr>
          <w:rFonts w:hint="eastAsia" w:ascii="宋体" w:hAnsi="宋体"/>
          <w:b/>
          <w:sz w:val="24"/>
        </w:rPr>
        <w:t>第一条</w:t>
      </w:r>
      <w:r>
        <w:rPr>
          <w:rFonts w:hint="eastAsia" w:ascii="宋体" w:hAnsi="宋体"/>
          <w:sz w:val="24"/>
        </w:rPr>
        <w:t xml:space="preserve">  本《拍卖须知》根据《中华人民共和国拍卖法》及相关</w:t>
      </w:r>
      <w:r>
        <w:rPr>
          <w:rFonts w:hint="eastAsia" w:ascii="宋体" w:hAnsi="宋体"/>
          <w:sz w:val="24"/>
          <w:lang w:eastAsia="zh-CN"/>
        </w:rPr>
        <w:t>法律法规</w:t>
      </w:r>
      <w:r>
        <w:rPr>
          <w:rFonts w:hint="eastAsia" w:ascii="宋体" w:hAnsi="宋体"/>
          <w:sz w:val="24"/>
        </w:rPr>
        <w:t>、规章，参照国际通行惯例制定。</w:t>
      </w:r>
    </w:p>
    <w:p w14:paraId="27B3AA66">
      <w:pPr>
        <w:keepNext w:val="0"/>
        <w:keepLines w:val="0"/>
        <w:pageBreakBefore w:val="0"/>
        <w:widowControl w:val="0"/>
        <w:kinsoku/>
        <w:wordWrap/>
        <w:overflowPunct/>
        <w:topLinePunct w:val="0"/>
        <w:autoSpaceDE/>
        <w:autoSpaceDN/>
        <w:bidi w:val="0"/>
        <w:adjustRightInd/>
        <w:snapToGrid/>
        <w:spacing w:line="520" w:lineRule="exact"/>
        <w:ind w:right="0" w:rightChars="0" w:firstLine="482" w:firstLineChars="200"/>
        <w:textAlignment w:val="auto"/>
        <w:rPr>
          <w:rFonts w:hint="eastAsia" w:ascii="宋体" w:hAnsi="宋体"/>
          <w:sz w:val="24"/>
        </w:rPr>
      </w:pPr>
      <w:r>
        <w:rPr>
          <w:rFonts w:hint="eastAsia" w:ascii="宋体" w:hAnsi="宋体"/>
          <w:b/>
          <w:sz w:val="24"/>
        </w:rPr>
        <w:t>第二条</w:t>
      </w:r>
      <w:r>
        <w:rPr>
          <w:rFonts w:hint="eastAsia" w:ascii="宋体" w:hAnsi="宋体"/>
          <w:sz w:val="24"/>
        </w:rPr>
        <w:t xml:space="preserve">  宁波阳明拍卖有限公司（以下简称“拍卖人”）将依法组织和开展拍卖活动，参加拍卖活动的竞买人必须仔细阅读并遵守本《拍卖须知》</w:t>
      </w:r>
      <w:r>
        <w:rPr>
          <w:rFonts w:hint="eastAsia" w:ascii="宋体" w:hAnsi="宋体"/>
          <w:sz w:val="24"/>
          <w:lang w:eastAsia="zh-CN"/>
        </w:rPr>
        <w:t>及其他相关</w:t>
      </w:r>
      <w:r>
        <w:rPr>
          <w:rFonts w:hint="eastAsia" w:ascii="宋体" w:hAnsi="宋体"/>
          <w:sz w:val="24"/>
        </w:rPr>
        <w:t>文件，并对自己执行本《拍卖须知》的行为负责。</w:t>
      </w:r>
    </w:p>
    <w:p w14:paraId="17CA83C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textAlignment w:val="auto"/>
        <w:rPr>
          <w:rFonts w:hint="eastAsia" w:ascii="宋体" w:hAnsi="宋体"/>
          <w:sz w:val="24"/>
        </w:rPr>
      </w:pPr>
      <w:r>
        <w:rPr>
          <w:rFonts w:hint="eastAsia" w:ascii="宋体" w:hAnsi="宋体"/>
          <w:b/>
          <w:sz w:val="24"/>
        </w:rPr>
        <w:t xml:space="preserve">第三条  </w:t>
      </w:r>
      <w:r>
        <w:rPr>
          <w:rFonts w:hint="eastAsia" w:ascii="宋体" w:hAnsi="宋体"/>
          <w:sz w:val="24"/>
        </w:rPr>
        <w:t>拍卖人有权在本《拍卖须知》的基础上，根据公开、公平、公正、诚实信用的原则解释和处理本《拍卖须知》以外的特殊问题和未尽事宜。</w:t>
      </w:r>
    </w:p>
    <w:p w14:paraId="3EDB52D3">
      <w:pPr>
        <w:keepNext w:val="0"/>
        <w:keepLines w:val="0"/>
        <w:pageBreakBefore w:val="0"/>
        <w:widowControl w:val="0"/>
        <w:kinsoku/>
        <w:wordWrap/>
        <w:overflowPunct/>
        <w:topLinePunct w:val="0"/>
        <w:autoSpaceDE/>
        <w:autoSpaceDN/>
        <w:bidi w:val="0"/>
        <w:adjustRightInd/>
        <w:snapToGrid/>
        <w:spacing w:before="157" w:beforeLines="50" w:after="156" w:afterLines="50" w:line="52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拍卖标的</w:t>
      </w:r>
    </w:p>
    <w:p w14:paraId="7DDEC1E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第四条  拍卖标的</w:t>
      </w:r>
    </w:p>
    <w:tbl>
      <w:tblPr>
        <w:tblStyle w:val="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293"/>
        <w:gridCol w:w="958"/>
        <w:gridCol w:w="715"/>
        <w:gridCol w:w="1271"/>
        <w:gridCol w:w="668"/>
        <w:gridCol w:w="741"/>
        <w:gridCol w:w="367"/>
        <w:gridCol w:w="309"/>
        <w:gridCol w:w="948"/>
        <w:gridCol w:w="704"/>
        <w:gridCol w:w="1143"/>
        <w:gridCol w:w="669"/>
        <w:gridCol w:w="762"/>
      </w:tblGrid>
      <w:tr w14:paraId="79E7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4" w:type="pct"/>
            <w:noWrap w:val="0"/>
            <w:vAlign w:val="center"/>
          </w:tcPr>
          <w:p w14:paraId="767AD4E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rPr>
            </w:pPr>
            <w:r>
              <w:rPr>
                <w:rFonts w:hint="eastAsia" w:ascii="宋体" w:hAnsi="宋体" w:eastAsia="宋体" w:cs="宋体"/>
                <w:b/>
                <w:color w:val="auto"/>
                <w:sz w:val="15"/>
                <w:szCs w:val="15"/>
              </w:rPr>
              <w:t>标的</w:t>
            </w:r>
          </w:p>
        </w:tc>
        <w:tc>
          <w:tcPr>
            <w:tcW w:w="630" w:type="pct"/>
            <w:gridSpan w:val="2"/>
            <w:noWrap w:val="0"/>
            <w:vAlign w:val="center"/>
          </w:tcPr>
          <w:p w14:paraId="02DC916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坐</w:t>
            </w:r>
            <w:r>
              <w:rPr>
                <w:rFonts w:hint="eastAsia" w:ascii="宋体" w:hAnsi="宋体" w:eastAsia="宋体" w:cs="宋体"/>
                <w:b/>
                <w:color w:val="auto"/>
                <w:sz w:val="15"/>
                <w:szCs w:val="15"/>
                <w:lang w:val="en-US" w:eastAsia="zh-CN"/>
              </w:rPr>
              <w:t xml:space="preserve">  </w:t>
            </w:r>
            <w:r>
              <w:rPr>
                <w:rFonts w:hint="eastAsia" w:ascii="宋体" w:hAnsi="宋体" w:eastAsia="宋体" w:cs="宋体"/>
                <w:b/>
                <w:color w:val="auto"/>
                <w:sz w:val="15"/>
                <w:szCs w:val="15"/>
                <w:lang w:eastAsia="zh-CN"/>
              </w:rPr>
              <w:t>落</w:t>
            </w:r>
          </w:p>
        </w:tc>
        <w:tc>
          <w:tcPr>
            <w:tcW w:w="360" w:type="pct"/>
            <w:noWrap w:val="0"/>
            <w:vAlign w:val="center"/>
          </w:tcPr>
          <w:p w14:paraId="2212F37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建筑</w:t>
            </w:r>
            <w:r>
              <w:rPr>
                <w:rFonts w:hint="eastAsia" w:ascii="宋体" w:hAnsi="宋体" w:eastAsia="宋体" w:cs="宋体"/>
                <w:b/>
                <w:color w:val="auto"/>
                <w:sz w:val="15"/>
                <w:szCs w:val="15"/>
              </w:rPr>
              <w:t>面积（</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641" w:type="pct"/>
            <w:noWrap w:val="0"/>
            <w:vAlign w:val="center"/>
          </w:tcPr>
          <w:p w14:paraId="487528C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附房编号</w:t>
            </w:r>
          </w:p>
        </w:tc>
        <w:tc>
          <w:tcPr>
            <w:tcW w:w="336" w:type="pct"/>
            <w:noWrap w:val="0"/>
            <w:vAlign w:val="center"/>
          </w:tcPr>
          <w:p w14:paraId="5C61696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使用面积</w:t>
            </w:r>
            <w:r>
              <w:rPr>
                <w:rFonts w:hint="eastAsia" w:ascii="宋体" w:hAnsi="宋体" w:eastAsia="宋体" w:cs="宋体"/>
                <w:b/>
                <w:color w:val="auto"/>
                <w:sz w:val="15"/>
                <w:szCs w:val="15"/>
              </w:rPr>
              <w:t>（</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373" w:type="pct"/>
            <w:tcBorders>
              <w:right w:val="single" w:color="auto" w:sz="4" w:space="0"/>
            </w:tcBorders>
            <w:noWrap w:val="0"/>
            <w:vAlign w:val="center"/>
          </w:tcPr>
          <w:p w14:paraId="13F0E6A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起拍价</w:t>
            </w:r>
          </w:p>
          <w:p w14:paraId="65E310C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val="en-US" w:eastAsia="zh-CN"/>
              </w:rPr>
              <w:t>（元）</w:t>
            </w:r>
          </w:p>
        </w:tc>
        <w:tc>
          <w:tcPr>
            <w:tcW w:w="185" w:type="pct"/>
            <w:tcBorders>
              <w:right w:val="single" w:color="auto" w:sz="4" w:space="0"/>
            </w:tcBorders>
            <w:noWrap w:val="0"/>
            <w:vAlign w:val="center"/>
          </w:tcPr>
          <w:p w14:paraId="126B124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rPr>
              <w:t>标的</w:t>
            </w:r>
          </w:p>
        </w:tc>
        <w:tc>
          <w:tcPr>
            <w:tcW w:w="633" w:type="pct"/>
            <w:gridSpan w:val="2"/>
            <w:tcBorders>
              <w:left w:val="single" w:color="auto" w:sz="4" w:space="0"/>
            </w:tcBorders>
            <w:noWrap w:val="0"/>
            <w:vAlign w:val="center"/>
          </w:tcPr>
          <w:p w14:paraId="4191407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坐</w:t>
            </w:r>
            <w:r>
              <w:rPr>
                <w:rFonts w:hint="eastAsia" w:ascii="宋体" w:hAnsi="宋体" w:eastAsia="宋体" w:cs="宋体"/>
                <w:b/>
                <w:color w:val="auto"/>
                <w:sz w:val="15"/>
                <w:szCs w:val="15"/>
                <w:lang w:val="en-US" w:eastAsia="zh-CN"/>
              </w:rPr>
              <w:t xml:space="preserve">  </w:t>
            </w:r>
            <w:r>
              <w:rPr>
                <w:rFonts w:hint="eastAsia" w:ascii="宋体" w:hAnsi="宋体" w:eastAsia="宋体" w:cs="宋体"/>
                <w:b/>
                <w:color w:val="auto"/>
                <w:sz w:val="15"/>
                <w:szCs w:val="15"/>
                <w:lang w:eastAsia="zh-CN"/>
              </w:rPr>
              <w:t>落</w:t>
            </w:r>
          </w:p>
        </w:tc>
        <w:tc>
          <w:tcPr>
            <w:tcW w:w="355" w:type="pct"/>
            <w:noWrap w:val="0"/>
            <w:vAlign w:val="center"/>
          </w:tcPr>
          <w:p w14:paraId="02397B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建筑</w:t>
            </w:r>
            <w:r>
              <w:rPr>
                <w:rFonts w:hint="eastAsia" w:ascii="宋体" w:hAnsi="宋体" w:eastAsia="宋体" w:cs="宋体"/>
                <w:b/>
                <w:color w:val="auto"/>
                <w:sz w:val="15"/>
                <w:szCs w:val="15"/>
              </w:rPr>
              <w:t>面积（</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576" w:type="pct"/>
            <w:noWrap w:val="0"/>
            <w:vAlign w:val="center"/>
          </w:tcPr>
          <w:p w14:paraId="2F1DE54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附房编号</w:t>
            </w:r>
          </w:p>
        </w:tc>
        <w:tc>
          <w:tcPr>
            <w:tcW w:w="337" w:type="pct"/>
            <w:noWrap w:val="0"/>
            <w:vAlign w:val="center"/>
          </w:tcPr>
          <w:p w14:paraId="6811EC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eastAsia="zh-CN"/>
              </w:rPr>
              <w:t>使用面积</w:t>
            </w:r>
            <w:r>
              <w:rPr>
                <w:rFonts w:hint="eastAsia" w:ascii="宋体" w:hAnsi="宋体" w:eastAsia="宋体" w:cs="宋体"/>
                <w:b/>
                <w:color w:val="auto"/>
                <w:sz w:val="15"/>
                <w:szCs w:val="15"/>
              </w:rPr>
              <w:t>（</w:t>
            </w:r>
            <w:r>
              <w:rPr>
                <w:rFonts w:hint="eastAsia" w:ascii="宋体" w:hAnsi="宋体" w:eastAsia="宋体" w:cs="宋体"/>
                <w:b/>
                <w:color w:val="auto"/>
                <w:sz w:val="15"/>
                <w:szCs w:val="15"/>
                <w:lang w:val="en-US" w:eastAsia="zh-CN"/>
              </w:rPr>
              <w:t>m2</w:t>
            </w:r>
            <w:r>
              <w:rPr>
                <w:rFonts w:hint="eastAsia" w:ascii="宋体" w:hAnsi="宋体" w:eastAsia="宋体" w:cs="宋体"/>
                <w:b/>
                <w:color w:val="auto"/>
                <w:sz w:val="15"/>
                <w:szCs w:val="15"/>
              </w:rPr>
              <w:t>）</w:t>
            </w:r>
          </w:p>
        </w:tc>
        <w:tc>
          <w:tcPr>
            <w:tcW w:w="384" w:type="pct"/>
            <w:noWrap w:val="0"/>
            <w:vAlign w:val="center"/>
          </w:tcPr>
          <w:p w14:paraId="7948167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val="en-US" w:eastAsia="zh-CN"/>
              </w:rPr>
            </w:pPr>
            <w:r>
              <w:rPr>
                <w:rFonts w:hint="eastAsia" w:ascii="宋体" w:hAnsi="宋体" w:eastAsia="宋体" w:cs="宋体"/>
                <w:b/>
                <w:color w:val="auto"/>
                <w:sz w:val="15"/>
                <w:szCs w:val="15"/>
                <w:lang w:val="en-US" w:eastAsia="zh-CN"/>
              </w:rPr>
              <w:t>起拍价</w:t>
            </w:r>
          </w:p>
          <w:p w14:paraId="15102F9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color w:val="auto"/>
                <w:sz w:val="15"/>
                <w:szCs w:val="15"/>
                <w:lang w:eastAsia="zh-CN"/>
              </w:rPr>
            </w:pPr>
            <w:r>
              <w:rPr>
                <w:rFonts w:hint="eastAsia" w:ascii="宋体" w:hAnsi="宋体" w:eastAsia="宋体" w:cs="宋体"/>
                <w:b/>
                <w:color w:val="auto"/>
                <w:sz w:val="15"/>
                <w:szCs w:val="15"/>
                <w:lang w:val="en-US" w:eastAsia="zh-CN"/>
              </w:rPr>
              <w:t>（元）</w:t>
            </w:r>
          </w:p>
        </w:tc>
      </w:tr>
      <w:tr w14:paraId="7799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 w:type="pct"/>
            <w:noWrap w:val="0"/>
            <w:vAlign w:val="center"/>
          </w:tcPr>
          <w:p w14:paraId="7383AE1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w:t>
            </w:r>
          </w:p>
        </w:tc>
        <w:tc>
          <w:tcPr>
            <w:tcW w:w="147" w:type="pct"/>
            <w:vMerge w:val="restart"/>
            <w:noWrap w:val="0"/>
            <w:vAlign w:val="center"/>
          </w:tcPr>
          <w:p w14:paraId="21706D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安</w:t>
            </w:r>
          </w:p>
          <w:p w14:paraId="007E67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馨</w:t>
            </w:r>
          </w:p>
          <w:p w14:paraId="48ADBA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华</w:t>
            </w:r>
          </w:p>
          <w:p w14:paraId="422F7E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苑</w:t>
            </w:r>
          </w:p>
          <w:p w14:paraId="7BD578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6D443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1幢201室</w:t>
            </w:r>
          </w:p>
        </w:tc>
        <w:tc>
          <w:tcPr>
            <w:tcW w:w="360" w:type="pct"/>
            <w:noWrap w:val="0"/>
            <w:vAlign w:val="center"/>
          </w:tcPr>
          <w:p w14:paraId="2911AF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84.59</w:t>
            </w:r>
          </w:p>
        </w:tc>
        <w:tc>
          <w:tcPr>
            <w:tcW w:w="641" w:type="pct"/>
            <w:noWrap w:val="0"/>
            <w:vAlign w:val="center"/>
          </w:tcPr>
          <w:p w14:paraId="0935E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1幢自行车库9</w:t>
            </w:r>
          </w:p>
        </w:tc>
        <w:tc>
          <w:tcPr>
            <w:tcW w:w="336" w:type="pct"/>
            <w:noWrap w:val="0"/>
            <w:vAlign w:val="center"/>
          </w:tcPr>
          <w:p w14:paraId="4A6FA6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6.60</w:t>
            </w:r>
          </w:p>
        </w:tc>
        <w:tc>
          <w:tcPr>
            <w:tcW w:w="373" w:type="pct"/>
            <w:tcBorders>
              <w:right w:val="single" w:color="auto" w:sz="4" w:space="0"/>
            </w:tcBorders>
            <w:noWrap w:val="0"/>
            <w:vAlign w:val="center"/>
          </w:tcPr>
          <w:p w14:paraId="3736E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726456</w:t>
            </w:r>
          </w:p>
        </w:tc>
        <w:tc>
          <w:tcPr>
            <w:tcW w:w="185" w:type="pct"/>
            <w:tcBorders>
              <w:right w:val="single" w:color="auto" w:sz="4" w:space="0"/>
            </w:tcBorders>
            <w:noWrap w:val="0"/>
            <w:vAlign w:val="center"/>
          </w:tcPr>
          <w:p w14:paraId="3DF55B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kern w:val="0"/>
                <w:sz w:val="13"/>
                <w:szCs w:val="13"/>
                <w:u w:val="none"/>
                <w:lang w:val="en-US" w:eastAsia="zh-CN" w:bidi="ar"/>
              </w:rPr>
            </w:pPr>
            <w:r>
              <w:rPr>
                <w:rFonts w:hint="eastAsia" w:ascii="宋体" w:hAnsi="宋体" w:eastAsia="宋体" w:cs="宋体"/>
                <w:b/>
                <w:bCs/>
                <w:i w:val="0"/>
                <w:iCs w:val="0"/>
                <w:color w:val="auto"/>
                <w:kern w:val="0"/>
                <w:sz w:val="13"/>
                <w:szCs w:val="13"/>
                <w:u w:val="none"/>
                <w:lang w:val="en-US" w:eastAsia="zh-CN" w:bidi="ar"/>
              </w:rPr>
              <w:t>21</w:t>
            </w:r>
          </w:p>
        </w:tc>
        <w:tc>
          <w:tcPr>
            <w:tcW w:w="155" w:type="pct"/>
            <w:vMerge w:val="restart"/>
            <w:tcBorders>
              <w:left w:val="single" w:color="auto" w:sz="4" w:space="0"/>
            </w:tcBorders>
            <w:noWrap w:val="0"/>
            <w:vAlign w:val="center"/>
          </w:tcPr>
          <w:p w14:paraId="18DE4A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安</w:t>
            </w:r>
          </w:p>
          <w:p w14:paraId="3FA2DD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馨</w:t>
            </w:r>
          </w:p>
          <w:p w14:paraId="4466B8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华</w:t>
            </w:r>
          </w:p>
          <w:p w14:paraId="4AA297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苑</w:t>
            </w:r>
          </w:p>
          <w:p w14:paraId="38D188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p>
        </w:tc>
        <w:tc>
          <w:tcPr>
            <w:tcW w:w="478" w:type="pct"/>
            <w:noWrap w:val="0"/>
            <w:vAlign w:val="center"/>
          </w:tcPr>
          <w:p w14:paraId="63DE14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14幢104室</w:t>
            </w:r>
          </w:p>
        </w:tc>
        <w:tc>
          <w:tcPr>
            <w:tcW w:w="355" w:type="pct"/>
            <w:noWrap w:val="0"/>
            <w:vAlign w:val="center"/>
          </w:tcPr>
          <w:p w14:paraId="3E9FD5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576" w:type="pct"/>
            <w:noWrap w:val="0"/>
            <w:vAlign w:val="center"/>
          </w:tcPr>
          <w:p w14:paraId="111DC45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14幢车库8</w:t>
            </w:r>
          </w:p>
        </w:tc>
        <w:tc>
          <w:tcPr>
            <w:tcW w:w="337" w:type="pct"/>
            <w:noWrap w:val="0"/>
            <w:vAlign w:val="center"/>
          </w:tcPr>
          <w:p w14:paraId="18071E5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21.78</w:t>
            </w:r>
          </w:p>
        </w:tc>
        <w:tc>
          <w:tcPr>
            <w:tcW w:w="384" w:type="pct"/>
            <w:noWrap w:val="0"/>
            <w:vAlign w:val="center"/>
          </w:tcPr>
          <w:p w14:paraId="5FA89C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1132094</w:t>
            </w:r>
          </w:p>
        </w:tc>
      </w:tr>
      <w:tr w14:paraId="096E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1C7D1CF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2</w:t>
            </w:r>
          </w:p>
        </w:tc>
        <w:tc>
          <w:tcPr>
            <w:tcW w:w="147" w:type="pct"/>
            <w:vMerge w:val="continue"/>
            <w:noWrap w:val="0"/>
            <w:vAlign w:val="center"/>
          </w:tcPr>
          <w:p w14:paraId="6A136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75EE1D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1幢206室</w:t>
            </w:r>
          </w:p>
        </w:tc>
        <w:tc>
          <w:tcPr>
            <w:tcW w:w="360" w:type="pct"/>
            <w:noWrap w:val="0"/>
            <w:vAlign w:val="center"/>
          </w:tcPr>
          <w:p w14:paraId="59C9C3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84.59</w:t>
            </w:r>
          </w:p>
        </w:tc>
        <w:tc>
          <w:tcPr>
            <w:tcW w:w="641" w:type="pct"/>
            <w:noWrap w:val="0"/>
            <w:vAlign w:val="center"/>
          </w:tcPr>
          <w:p w14:paraId="64ED07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1幢自行车库17</w:t>
            </w:r>
          </w:p>
        </w:tc>
        <w:tc>
          <w:tcPr>
            <w:tcW w:w="336" w:type="pct"/>
            <w:noWrap w:val="0"/>
            <w:vAlign w:val="center"/>
          </w:tcPr>
          <w:p w14:paraId="249899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6.60</w:t>
            </w:r>
          </w:p>
        </w:tc>
        <w:tc>
          <w:tcPr>
            <w:tcW w:w="373" w:type="pct"/>
            <w:tcBorders>
              <w:right w:val="single" w:color="auto" w:sz="4" w:space="0"/>
            </w:tcBorders>
            <w:noWrap w:val="0"/>
            <w:vAlign w:val="center"/>
          </w:tcPr>
          <w:p w14:paraId="1DB98E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712600</w:t>
            </w:r>
          </w:p>
        </w:tc>
        <w:tc>
          <w:tcPr>
            <w:tcW w:w="185" w:type="pct"/>
            <w:tcBorders>
              <w:right w:val="single" w:color="auto" w:sz="4" w:space="0"/>
            </w:tcBorders>
            <w:noWrap w:val="0"/>
            <w:vAlign w:val="center"/>
          </w:tcPr>
          <w:p w14:paraId="583831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22</w:t>
            </w:r>
          </w:p>
        </w:tc>
        <w:tc>
          <w:tcPr>
            <w:tcW w:w="155" w:type="pct"/>
            <w:vMerge w:val="continue"/>
            <w:tcBorders>
              <w:left w:val="single" w:color="auto" w:sz="4" w:space="0"/>
            </w:tcBorders>
            <w:noWrap w:val="0"/>
            <w:vAlign w:val="center"/>
          </w:tcPr>
          <w:p w14:paraId="15073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6F142E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14幢201室</w:t>
            </w:r>
          </w:p>
        </w:tc>
        <w:tc>
          <w:tcPr>
            <w:tcW w:w="355" w:type="pct"/>
            <w:noWrap w:val="0"/>
            <w:vAlign w:val="center"/>
          </w:tcPr>
          <w:p w14:paraId="7E8D80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576" w:type="pct"/>
            <w:noWrap w:val="0"/>
            <w:vAlign w:val="center"/>
          </w:tcPr>
          <w:p w14:paraId="7B8DF4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14幢车库12</w:t>
            </w:r>
          </w:p>
        </w:tc>
        <w:tc>
          <w:tcPr>
            <w:tcW w:w="337" w:type="pct"/>
            <w:noWrap w:val="0"/>
            <w:vAlign w:val="center"/>
          </w:tcPr>
          <w:p w14:paraId="658711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25.74</w:t>
            </w:r>
          </w:p>
        </w:tc>
        <w:tc>
          <w:tcPr>
            <w:tcW w:w="384" w:type="pct"/>
            <w:noWrap w:val="0"/>
            <w:vAlign w:val="center"/>
          </w:tcPr>
          <w:p w14:paraId="589C66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1182794</w:t>
            </w:r>
          </w:p>
        </w:tc>
      </w:tr>
      <w:tr w14:paraId="6F8A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 w:type="pct"/>
            <w:noWrap w:val="0"/>
            <w:vAlign w:val="center"/>
          </w:tcPr>
          <w:p w14:paraId="12B4FB2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3</w:t>
            </w:r>
          </w:p>
        </w:tc>
        <w:tc>
          <w:tcPr>
            <w:tcW w:w="147" w:type="pct"/>
            <w:vMerge w:val="continue"/>
            <w:noWrap w:val="0"/>
            <w:vAlign w:val="center"/>
          </w:tcPr>
          <w:p w14:paraId="4148E7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16C3D0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1幢404室</w:t>
            </w:r>
          </w:p>
        </w:tc>
        <w:tc>
          <w:tcPr>
            <w:tcW w:w="360" w:type="pct"/>
            <w:noWrap w:val="0"/>
            <w:vAlign w:val="center"/>
          </w:tcPr>
          <w:p w14:paraId="108D2B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84.59</w:t>
            </w:r>
          </w:p>
        </w:tc>
        <w:tc>
          <w:tcPr>
            <w:tcW w:w="641" w:type="pct"/>
            <w:noWrap w:val="0"/>
            <w:vAlign w:val="center"/>
          </w:tcPr>
          <w:p w14:paraId="00EE87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1幢自行车库23</w:t>
            </w:r>
          </w:p>
        </w:tc>
        <w:tc>
          <w:tcPr>
            <w:tcW w:w="336" w:type="pct"/>
            <w:noWrap w:val="0"/>
            <w:vAlign w:val="center"/>
          </w:tcPr>
          <w:p w14:paraId="5D4504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9.00</w:t>
            </w:r>
          </w:p>
        </w:tc>
        <w:tc>
          <w:tcPr>
            <w:tcW w:w="373" w:type="pct"/>
            <w:tcBorders>
              <w:right w:val="single" w:color="auto" w:sz="4" w:space="0"/>
            </w:tcBorders>
            <w:noWrap w:val="0"/>
            <w:vAlign w:val="center"/>
          </w:tcPr>
          <w:p w14:paraId="1E89D4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726660</w:t>
            </w:r>
          </w:p>
        </w:tc>
        <w:tc>
          <w:tcPr>
            <w:tcW w:w="185" w:type="pct"/>
            <w:tcBorders>
              <w:right w:val="single" w:color="auto" w:sz="4" w:space="0"/>
            </w:tcBorders>
            <w:noWrap w:val="0"/>
            <w:vAlign w:val="center"/>
          </w:tcPr>
          <w:p w14:paraId="45F471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23</w:t>
            </w:r>
          </w:p>
        </w:tc>
        <w:tc>
          <w:tcPr>
            <w:tcW w:w="155" w:type="pct"/>
            <w:vMerge w:val="continue"/>
            <w:tcBorders>
              <w:left w:val="single" w:color="auto" w:sz="4" w:space="0"/>
            </w:tcBorders>
            <w:noWrap w:val="0"/>
            <w:vAlign w:val="center"/>
          </w:tcPr>
          <w:p w14:paraId="22AE80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601353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14幢202室</w:t>
            </w:r>
          </w:p>
        </w:tc>
        <w:tc>
          <w:tcPr>
            <w:tcW w:w="355" w:type="pct"/>
            <w:noWrap w:val="0"/>
            <w:vAlign w:val="center"/>
          </w:tcPr>
          <w:p w14:paraId="7994CF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576" w:type="pct"/>
            <w:noWrap w:val="0"/>
            <w:vAlign w:val="center"/>
          </w:tcPr>
          <w:p w14:paraId="1A435A2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14幢车库2</w:t>
            </w:r>
          </w:p>
        </w:tc>
        <w:tc>
          <w:tcPr>
            <w:tcW w:w="337" w:type="pct"/>
            <w:noWrap w:val="0"/>
            <w:vAlign w:val="center"/>
          </w:tcPr>
          <w:p w14:paraId="7601AE3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21.78</w:t>
            </w:r>
          </w:p>
        </w:tc>
        <w:tc>
          <w:tcPr>
            <w:tcW w:w="384" w:type="pct"/>
            <w:noWrap w:val="0"/>
            <w:vAlign w:val="center"/>
          </w:tcPr>
          <w:p w14:paraId="252DEE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1142326</w:t>
            </w:r>
          </w:p>
        </w:tc>
      </w:tr>
      <w:tr w14:paraId="1419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7E6BB74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4</w:t>
            </w:r>
          </w:p>
        </w:tc>
        <w:tc>
          <w:tcPr>
            <w:tcW w:w="147" w:type="pct"/>
            <w:vMerge w:val="continue"/>
            <w:noWrap w:val="0"/>
            <w:vAlign w:val="center"/>
          </w:tcPr>
          <w:p w14:paraId="6A049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1618B1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1幢405室</w:t>
            </w:r>
          </w:p>
        </w:tc>
        <w:tc>
          <w:tcPr>
            <w:tcW w:w="360" w:type="pct"/>
            <w:noWrap w:val="0"/>
            <w:vAlign w:val="center"/>
          </w:tcPr>
          <w:p w14:paraId="3F572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84.59</w:t>
            </w:r>
          </w:p>
        </w:tc>
        <w:tc>
          <w:tcPr>
            <w:tcW w:w="641" w:type="pct"/>
            <w:noWrap w:val="0"/>
            <w:vAlign w:val="center"/>
          </w:tcPr>
          <w:p w14:paraId="389A5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1幢自行车库18</w:t>
            </w:r>
          </w:p>
        </w:tc>
        <w:tc>
          <w:tcPr>
            <w:tcW w:w="336" w:type="pct"/>
            <w:noWrap w:val="0"/>
            <w:vAlign w:val="center"/>
          </w:tcPr>
          <w:p w14:paraId="3E5157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6.60</w:t>
            </w:r>
          </w:p>
        </w:tc>
        <w:tc>
          <w:tcPr>
            <w:tcW w:w="373" w:type="pct"/>
            <w:tcBorders>
              <w:right w:val="single" w:color="auto" w:sz="4" w:space="0"/>
            </w:tcBorders>
            <w:noWrap w:val="0"/>
            <w:vAlign w:val="center"/>
          </w:tcPr>
          <w:p w14:paraId="04881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719459</w:t>
            </w:r>
          </w:p>
        </w:tc>
        <w:tc>
          <w:tcPr>
            <w:tcW w:w="185" w:type="pct"/>
            <w:tcBorders>
              <w:right w:val="single" w:color="auto" w:sz="4" w:space="0"/>
            </w:tcBorders>
            <w:noWrap w:val="0"/>
            <w:vAlign w:val="center"/>
          </w:tcPr>
          <w:p w14:paraId="69DF06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24</w:t>
            </w:r>
          </w:p>
        </w:tc>
        <w:tc>
          <w:tcPr>
            <w:tcW w:w="155" w:type="pct"/>
            <w:vMerge w:val="continue"/>
            <w:tcBorders>
              <w:left w:val="single" w:color="auto" w:sz="4" w:space="0"/>
            </w:tcBorders>
            <w:noWrap w:val="0"/>
            <w:vAlign w:val="center"/>
          </w:tcPr>
          <w:p w14:paraId="547836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30A669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14幢303室</w:t>
            </w:r>
          </w:p>
        </w:tc>
        <w:tc>
          <w:tcPr>
            <w:tcW w:w="355" w:type="pct"/>
            <w:noWrap w:val="0"/>
            <w:vAlign w:val="center"/>
          </w:tcPr>
          <w:p w14:paraId="28F54A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576" w:type="pct"/>
            <w:noWrap w:val="0"/>
            <w:vAlign w:val="center"/>
          </w:tcPr>
          <w:p w14:paraId="1170DC7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14幢车库9</w:t>
            </w:r>
          </w:p>
        </w:tc>
        <w:tc>
          <w:tcPr>
            <w:tcW w:w="337" w:type="pct"/>
            <w:noWrap w:val="0"/>
            <w:vAlign w:val="center"/>
          </w:tcPr>
          <w:p w14:paraId="75279DB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29.70</w:t>
            </w:r>
          </w:p>
        </w:tc>
        <w:tc>
          <w:tcPr>
            <w:tcW w:w="384" w:type="pct"/>
            <w:noWrap w:val="0"/>
            <w:vAlign w:val="center"/>
          </w:tcPr>
          <w:p w14:paraId="0F398C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1202389</w:t>
            </w:r>
          </w:p>
        </w:tc>
      </w:tr>
      <w:tr w14:paraId="1260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84" w:type="pct"/>
            <w:noWrap w:val="0"/>
            <w:vAlign w:val="center"/>
          </w:tcPr>
          <w:p w14:paraId="45EE8730">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5</w:t>
            </w:r>
          </w:p>
        </w:tc>
        <w:tc>
          <w:tcPr>
            <w:tcW w:w="147" w:type="pct"/>
            <w:vMerge w:val="continue"/>
            <w:noWrap w:val="0"/>
            <w:vAlign w:val="center"/>
          </w:tcPr>
          <w:p w14:paraId="22F7B82C">
            <w:pPr>
              <w:keepNext w:val="0"/>
              <w:keepLines w:val="0"/>
              <w:pageBreakBefore w:val="0"/>
              <w:widowControl/>
              <w:suppressLineNumbers w:val="0"/>
              <w:tabs>
                <w:tab w:val="left" w:pos="393"/>
              </w:tabs>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792D32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1幢501室</w:t>
            </w:r>
          </w:p>
        </w:tc>
        <w:tc>
          <w:tcPr>
            <w:tcW w:w="360" w:type="pct"/>
            <w:noWrap w:val="0"/>
            <w:vAlign w:val="center"/>
          </w:tcPr>
          <w:p w14:paraId="096433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83.99</w:t>
            </w:r>
          </w:p>
        </w:tc>
        <w:tc>
          <w:tcPr>
            <w:tcW w:w="641" w:type="pct"/>
            <w:noWrap w:val="0"/>
            <w:vAlign w:val="center"/>
          </w:tcPr>
          <w:p w14:paraId="4E3D39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1幢自行车库12</w:t>
            </w:r>
          </w:p>
        </w:tc>
        <w:tc>
          <w:tcPr>
            <w:tcW w:w="336" w:type="pct"/>
            <w:noWrap w:val="0"/>
            <w:vAlign w:val="center"/>
          </w:tcPr>
          <w:p w14:paraId="4BF48F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7.98</w:t>
            </w:r>
          </w:p>
        </w:tc>
        <w:tc>
          <w:tcPr>
            <w:tcW w:w="373" w:type="pct"/>
            <w:tcBorders>
              <w:right w:val="single" w:color="auto" w:sz="4" w:space="0"/>
            </w:tcBorders>
            <w:noWrap w:val="0"/>
            <w:vAlign w:val="center"/>
          </w:tcPr>
          <w:p w14:paraId="1FE7A9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711690</w:t>
            </w:r>
          </w:p>
        </w:tc>
        <w:tc>
          <w:tcPr>
            <w:tcW w:w="185" w:type="pct"/>
            <w:tcBorders>
              <w:right w:val="single" w:color="auto" w:sz="4" w:space="0"/>
            </w:tcBorders>
            <w:noWrap w:val="0"/>
            <w:vAlign w:val="center"/>
          </w:tcPr>
          <w:p w14:paraId="2930FFA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25</w:t>
            </w:r>
          </w:p>
        </w:tc>
        <w:tc>
          <w:tcPr>
            <w:tcW w:w="155" w:type="pct"/>
            <w:vMerge w:val="continue"/>
            <w:tcBorders>
              <w:left w:val="single" w:color="auto" w:sz="4" w:space="0"/>
            </w:tcBorders>
            <w:noWrap w:val="0"/>
            <w:vAlign w:val="center"/>
          </w:tcPr>
          <w:p w14:paraId="77565A4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767E92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15幢501室</w:t>
            </w:r>
          </w:p>
        </w:tc>
        <w:tc>
          <w:tcPr>
            <w:tcW w:w="355" w:type="pct"/>
            <w:noWrap w:val="0"/>
            <w:vAlign w:val="center"/>
          </w:tcPr>
          <w:p w14:paraId="35CED9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108.21</w:t>
            </w:r>
          </w:p>
        </w:tc>
        <w:tc>
          <w:tcPr>
            <w:tcW w:w="576" w:type="pct"/>
            <w:noWrap w:val="0"/>
            <w:vAlign w:val="center"/>
          </w:tcPr>
          <w:p w14:paraId="436EFAA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15幢车库3</w:t>
            </w:r>
          </w:p>
        </w:tc>
        <w:tc>
          <w:tcPr>
            <w:tcW w:w="337" w:type="pct"/>
            <w:noWrap w:val="0"/>
            <w:vAlign w:val="center"/>
          </w:tcPr>
          <w:p w14:paraId="1F8C654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384" w:type="pct"/>
            <w:noWrap w:val="0"/>
            <w:vAlign w:val="center"/>
          </w:tcPr>
          <w:p w14:paraId="65AA75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1000074</w:t>
            </w:r>
          </w:p>
        </w:tc>
      </w:tr>
      <w:tr w14:paraId="783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7E337D0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6</w:t>
            </w:r>
          </w:p>
        </w:tc>
        <w:tc>
          <w:tcPr>
            <w:tcW w:w="147" w:type="pct"/>
            <w:vMerge w:val="continue"/>
            <w:noWrap w:val="0"/>
            <w:vAlign w:val="center"/>
          </w:tcPr>
          <w:p w14:paraId="2F763C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0FFE3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2幢203室</w:t>
            </w:r>
          </w:p>
        </w:tc>
        <w:tc>
          <w:tcPr>
            <w:tcW w:w="360" w:type="pct"/>
            <w:noWrap w:val="0"/>
            <w:vAlign w:val="center"/>
          </w:tcPr>
          <w:p w14:paraId="171158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84.8</w:t>
            </w:r>
            <w:r>
              <w:rPr>
                <w:rFonts w:hint="eastAsia" w:ascii="宋体" w:hAnsi="宋体" w:eastAsia="宋体" w:cs="宋体"/>
                <w:i w:val="0"/>
                <w:iCs w:val="0"/>
                <w:color w:val="auto"/>
                <w:sz w:val="15"/>
                <w:szCs w:val="15"/>
                <w:u w:val="none"/>
                <w:lang w:val="en-US" w:eastAsia="zh-CN"/>
              </w:rPr>
              <w:t>0</w:t>
            </w:r>
          </w:p>
        </w:tc>
        <w:tc>
          <w:tcPr>
            <w:tcW w:w="641" w:type="pct"/>
            <w:noWrap w:val="0"/>
            <w:vAlign w:val="center"/>
          </w:tcPr>
          <w:p w14:paraId="0EC46E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2幢自行车库9</w:t>
            </w:r>
          </w:p>
        </w:tc>
        <w:tc>
          <w:tcPr>
            <w:tcW w:w="336" w:type="pct"/>
            <w:noWrap w:val="0"/>
            <w:vAlign w:val="center"/>
          </w:tcPr>
          <w:p w14:paraId="57F4C9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373" w:type="pct"/>
            <w:tcBorders>
              <w:right w:val="single" w:color="auto" w:sz="4" w:space="0"/>
            </w:tcBorders>
            <w:noWrap w:val="0"/>
            <w:vAlign w:val="center"/>
          </w:tcPr>
          <w:p w14:paraId="2DF27F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711530</w:t>
            </w:r>
          </w:p>
        </w:tc>
        <w:tc>
          <w:tcPr>
            <w:tcW w:w="185" w:type="pct"/>
            <w:tcBorders>
              <w:right w:val="single" w:color="auto" w:sz="4" w:space="0"/>
            </w:tcBorders>
            <w:noWrap w:val="0"/>
            <w:vAlign w:val="center"/>
          </w:tcPr>
          <w:p w14:paraId="59A00D2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26</w:t>
            </w:r>
          </w:p>
        </w:tc>
        <w:tc>
          <w:tcPr>
            <w:tcW w:w="155" w:type="pct"/>
            <w:vMerge w:val="continue"/>
            <w:tcBorders>
              <w:left w:val="single" w:color="auto" w:sz="4" w:space="0"/>
            </w:tcBorders>
            <w:noWrap w:val="0"/>
            <w:vAlign w:val="center"/>
          </w:tcPr>
          <w:p w14:paraId="1FF0E7B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1631D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15幢502室</w:t>
            </w:r>
          </w:p>
        </w:tc>
        <w:tc>
          <w:tcPr>
            <w:tcW w:w="355" w:type="pct"/>
            <w:noWrap w:val="0"/>
            <w:vAlign w:val="center"/>
          </w:tcPr>
          <w:p w14:paraId="48B78E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108.21</w:t>
            </w:r>
          </w:p>
        </w:tc>
        <w:tc>
          <w:tcPr>
            <w:tcW w:w="576" w:type="pct"/>
            <w:noWrap w:val="0"/>
            <w:vAlign w:val="center"/>
          </w:tcPr>
          <w:p w14:paraId="7AEE461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15幢车库4</w:t>
            </w:r>
          </w:p>
        </w:tc>
        <w:tc>
          <w:tcPr>
            <w:tcW w:w="337" w:type="pct"/>
            <w:noWrap w:val="0"/>
            <w:vAlign w:val="center"/>
          </w:tcPr>
          <w:p w14:paraId="3251F8A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384" w:type="pct"/>
            <w:noWrap w:val="0"/>
            <w:vAlign w:val="center"/>
          </w:tcPr>
          <w:p w14:paraId="64630A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982701</w:t>
            </w:r>
          </w:p>
        </w:tc>
      </w:tr>
      <w:tr w14:paraId="6FF4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73A34F4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7</w:t>
            </w:r>
          </w:p>
        </w:tc>
        <w:tc>
          <w:tcPr>
            <w:tcW w:w="147" w:type="pct"/>
            <w:vMerge w:val="continue"/>
            <w:noWrap w:val="0"/>
            <w:vAlign w:val="center"/>
          </w:tcPr>
          <w:p w14:paraId="23C3D3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4293C2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2幢204室</w:t>
            </w:r>
          </w:p>
        </w:tc>
        <w:tc>
          <w:tcPr>
            <w:tcW w:w="360" w:type="pct"/>
            <w:noWrap w:val="0"/>
            <w:vAlign w:val="center"/>
          </w:tcPr>
          <w:p w14:paraId="0CEF55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84.8</w:t>
            </w:r>
            <w:r>
              <w:rPr>
                <w:rFonts w:hint="eastAsia" w:ascii="宋体" w:hAnsi="宋体" w:eastAsia="宋体" w:cs="宋体"/>
                <w:i w:val="0"/>
                <w:iCs w:val="0"/>
                <w:color w:val="auto"/>
                <w:sz w:val="15"/>
                <w:szCs w:val="15"/>
                <w:u w:val="none"/>
                <w:lang w:val="en-US" w:eastAsia="zh-CN"/>
              </w:rPr>
              <w:t>0</w:t>
            </w:r>
          </w:p>
        </w:tc>
        <w:tc>
          <w:tcPr>
            <w:tcW w:w="641" w:type="pct"/>
            <w:noWrap w:val="0"/>
            <w:vAlign w:val="center"/>
          </w:tcPr>
          <w:p w14:paraId="5890FA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2幢自行车库12</w:t>
            </w:r>
          </w:p>
        </w:tc>
        <w:tc>
          <w:tcPr>
            <w:tcW w:w="336" w:type="pct"/>
            <w:noWrap w:val="0"/>
            <w:vAlign w:val="center"/>
          </w:tcPr>
          <w:p w14:paraId="3E5F6D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6.60</w:t>
            </w:r>
          </w:p>
        </w:tc>
        <w:tc>
          <w:tcPr>
            <w:tcW w:w="373" w:type="pct"/>
            <w:tcBorders>
              <w:right w:val="single" w:color="auto" w:sz="4" w:space="0"/>
            </w:tcBorders>
            <w:noWrap w:val="0"/>
            <w:vAlign w:val="center"/>
          </w:tcPr>
          <w:p w14:paraId="273A8F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714320</w:t>
            </w:r>
          </w:p>
        </w:tc>
        <w:tc>
          <w:tcPr>
            <w:tcW w:w="185" w:type="pct"/>
            <w:tcBorders>
              <w:right w:val="single" w:color="auto" w:sz="4" w:space="0"/>
            </w:tcBorders>
            <w:noWrap w:val="0"/>
            <w:vAlign w:val="center"/>
          </w:tcPr>
          <w:p w14:paraId="50854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27</w:t>
            </w:r>
          </w:p>
        </w:tc>
        <w:tc>
          <w:tcPr>
            <w:tcW w:w="155" w:type="pct"/>
            <w:vMerge w:val="continue"/>
            <w:tcBorders>
              <w:left w:val="single" w:color="auto" w:sz="4" w:space="0"/>
            </w:tcBorders>
            <w:noWrap w:val="0"/>
            <w:vAlign w:val="center"/>
          </w:tcPr>
          <w:p w14:paraId="474534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161233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15幢503室</w:t>
            </w:r>
          </w:p>
        </w:tc>
        <w:tc>
          <w:tcPr>
            <w:tcW w:w="355" w:type="pct"/>
            <w:noWrap w:val="0"/>
            <w:vAlign w:val="center"/>
          </w:tcPr>
          <w:p w14:paraId="2640A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108.21</w:t>
            </w:r>
          </w:p>
        </w:tc>
        <w:tc>
          <w:tcPr>
            <w:tcW w:w="576" w:type="pct"/>
            <w:noWrap w:val="0"/>
            <w:vAlign w:val="center"/>
          </w:tcPr>
          <w:p w14:paraId="1E47134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15幢车库9</w:t>
            </w:r>
          </w:p>
        </w:tc>
        <w:tc>
          <w:tcPr>
            <w:tcW w:w="337" w:type="pct"/>
            <w:noWrap w:val="0"/>
            <w:vAlign w:val="center"/>
          </w:tcPr>
          <w:p w14:paraId="739767F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384" w:type="pct"/>
            <w:noWrap w:val="0"/>
            <w:vAlign w:val="center"/>
          </w:tcPr>
          <w:p w14:paraId="30E780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982700</w:t>
            </w:r>
          </w:p>
        </w:tc>
      </w:tr>
      <w:tr w14:paraId="632B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4" w:type="pct"/>
            <w:noWrap w:val="0"/>
            <w:vAlign w:val="center"/>
          </w:tcPr>
          <w:p w14:paraId="6515EB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8</w:t>
            </w:r>
          </w:p>
        </w:tc>
        <w:tc>
          <w:tcPr>
            <w:tcW w:w="147" w:type="pct"/>
            <w:vMerge w:val="continue"/>
            <w:noWrap w:val="0"/>
            <w:vAlign w:val="center"/>
          </w:tcPr>
          <w:p w14:paraId="58E51D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6BD098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2幢406室</w:t>
            </w:r>
          </w:p>
        </w:tc>
        <w:tc>
          <w:tcPr>
            <w:tcW w:w="360" w:type="pct"/>
            <w:noWrap w:val="0"/>
            <w:vAlign w:val="center"/>
          </w:tcPr>
          <w:p w14:paraId="48B4B4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84.8</w:t>
            </w:r>
            <w:r>
              <w:rPr>
                <w:rFonts w:hint="eastAsia" w:ascii="宋体" w:hAnsi="宋体" w:eastAsia="宋体" w:cs="宋体"/>
                <w:i w:val="0"/>
                <w:iCs w:val="0"/>
                <w:color w:val="auto"/>
                <w:sz w:val="15"/>
                <w:szCs w:val="15"/>
                <w:u w:val="none"/>
                <w:lang w:val="en-US" w:eastAsia="zh-CN"/>
              </w:rPr>
              <w:t>0</w:t>
            </w:r>
          </w:p>
        </w:tc>
        <w:tc>
          <w:tcPr>
            <w:tcW w:w="641" w:type="pct"/>
            <w:noWrap w:val="0"/>
            <w:vAlign w:val="center"/>
          </w:tcPr>
          <w:p w14:paraId="4BDBEC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2幢自行车库17</w:t>
            </w:r>
          </w:p>
        </w:tc>
        <w:tc>
          <w:tcPr>
            <w:tcW w:w="336" w:type="pct"/>
            <w:noWrap w:val="0"/>
            <w:vAlign w:val="center"/>
          </w:tcPr>
          <w:p w14:paraId="795D43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373" w:type="pct"/>
            <w:tcBorders>
              <w:right w:val="single" w:color="auto" w:sz="4" w:space="0"/>
            </w:tcBorders>
            <w:noWrap w:val="0"/>
            <w:vAlign w:val="center"/>
          </w:tcPr>
          <w:p w14:paraId="28AEF4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718407</w:t>
            </w:r>
          </w:p>
        </w:tc>
        <w:tc>
          <w:tcPr>
            <w:tcW w:w="185" w:type="pct"/>
            <w:tcBorders>
              <w:right w:val="single" w:color="auto" w:sz="4" w:space="0"/>
            </w:tcBorders>
            <w:noWrap w:val="0"/>
            <w:vAlign w:val="center"/>
          </w:tcPr>
          <w:p w14:paraId="04EF68C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28</w:t>
            </w:r>
          </w:p>
        </w:tc>
        <w:tc>
          <w:tcPr>
            <w:tcW w:w="155" w:type="pct"/>
            <w:vMerge w:val="continue"/>
            <w:tcBorders>
              <w:left w:val="single" w:color="auto" w:sz="4" w:space="0"/>
            </w:tcBorders>
            <w:noWrap w:val="0"/>
            <w:vAlign w:val="center"/>
          </w:tcPr>
          <w:p w14:paraId="2CD4DE7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6E30C0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15幢504室</w:t>
            </w:r>
          </w:p>
        </w:tc>
        <w:tc>
          <w:tcPr>
            <w:tcW w:w="355" w:type="pct"/>
            <w:noWrap w:val="0"/>
            <w:vAlign w:val="center"/>
          </w:tcPr>
          <w:p w14:paraId="0B404E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108.21</w:t>
            </w:r>
          </w:p>
        </w:tc>
        <w:tc>
          <w:tcPr>
            <w:tcW w:w="576" w:type="pct"/>
            <w:noWrap w:val="0"/>
            <w:vAlign w:val="center"/>
          </w:tcPr>
          <w:p w14:paraId="645D6CD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15幢车库10</w:t>
            </w:r>
          </w:p>
        </w:tc>
        <w:tc>
          <w:tcPr>
            <w:tcW w:w="337" w:type="pct"/>
            <w:noWrap w:val="0"/>
            <w:vAlign w:val="center"/>
          </w:tcPr>
          <w:p w14:paraId="0A72B11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384" w:type="pct"/>
            <w:noWrap w:val="0"/>
            <w:vAlign w:val="center"/>
          </w:tcPr>
          <w:p w14:paraId="7A31E0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982701</w:t>
            </w:r>
          </w:p>
        </w:tc>
      </w:tr>
      <w:tr w14:paraId="31D7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4" w:type="pct"/>
            <w:noWrap w:val="0"/>
            <w:vAlign w:val="center"/>
          </w:tcPr>
          <w:p w14:paraId="5D473BF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9</w:t>
            </w:r>
          </w:p>
        </w:tc>
        <w:tc>
          <w:tcPr>
            <w:tcW w:w="147" w:type="pct"/>
            <w:vMerge w:val="continue"/>
            <w:noWrap w:val="0"/>
            <w:vAlign w:val="center"/>
          </w:tcPr>
          <w:p w14:paraId="438AD098">
            <w:pPr>
              <w:keepNext w:val="0"/>
              <w:keepLines w:val="0"/>
              <w:pageBreakBefore w:val="0"/>
              <w:widowControl/>
              <w:suppressLineNumbers w:val="0"/>
              <w:tabs>
                <w:tab w:val="left" w:pos="243"/>
                <w:tab w:val="left" w:pos="518"/>
              </w:tabs>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399E23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2幢501室</w:t>
            </w:r>
          </w:p>
        </w:tc>
        <w:tc>
          <w:tcPr>
            <w:tcW w:w="360" w:type="pct"/>
            <w:noWrap w:val="0"/>
            <w:vAlign w:val="center"/>
          </w:tcPr>
          <w:p w14:paraId="280AC0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84.19</w:t>
            </w:r>
          </w:p>
        </w:tc>
        <w:tc>
          <w:tcPr>
            <w:tcW w:w="641" w:type="pct"/>
            <w:noWrap w:val="0"/>
            <w:vAlign w:val="center"/>
          </w:tcPr>
          <w:p w14:paraId="42E10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2幢自行车库7</w:t>
            </w:r>
          </w:p>
        </w:tc>
        <w:tc>
          <w:tcPr>
            <w:tcW w:w="336" w:type="pct"/>
            <w:noWrap w:val="0"/>
            <w:vAlign w:val="center"/>
          </w:tcPr>
          <w:p w14:paraId="6559AA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7.98</w:t>
            </w:r>
          </w:p>
        </w:tc>
        <w:tc>
          <w:tcPr>
            <w:tcW w:w="373" w:type="pct"/>
            <w:tcBorders>
              <w:right w:val="single" w:color="auto" w:sz="4" w:space="0"/>
            </w:tcBorders>
            <w:noWrap w:val="0"/>
            <w:vAlign w:val="center"/>
          </w:tcPr>
          <w:p w14:paraId="7EF88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713327</w:t>
            </w:r>
          </w:p>
        </w:tc>
        <w:tc>
          <w:tcPr>
            <w:tcW w:w="185" w:type="pct"/>
            <w:tcBorders>
              <w:right w:val="single" w:color="auto" w:sz="4" w:space="0"/>
            </w:tcBorders>
            <w:noWrap w:val="0"/>
            <w:vAlign w:val="center"/>
          </w:tcPr>
          <w:p w14:paraId="7507EE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29</w:t>
            </w:r>
          </w:p>
        </w:tc>
        <w:tc>
          <w:tcPr>
            <w:tcW w:w="155" w:type="pct"/>
            <w:vMerge w:val="continue"/>
            <w:tcBorders>
              <w:left w:val="single" w:color="auto" w:sz="4" w:space="0"/>
            </w:tcBorders>
            <w:noWrap w:val="0"/>
            <w:vAlign w:val="center"/>
          </w:tcPr>
          <w:p w14:paraId="405C29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44337B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17幢302室</w:t>
            </w:r>
          </w:p>
        </w:tc>
        <w:tc>
          <w:tcPr>
            <w:tcW w:w="355" w:type="pct"/>
            <w:noWrap w:val="0"/>
            <w:vAlign w:val="center"/>
          </w:tcPr>
          <w:p w14:paraId="44BD81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83.77</w:t>
            </w:r>
          </w:p>
        </w:tc>
        <w:tc>
          <w:tcPr>
            <w:tcW w:w="576" w:type="pct"/>
            <w:noWrap w:val="0"/>
            <w:vAlign w:val="center"/>
          </w:tcPr>
          <w:p w14:paraId="17427FC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17幢车库4</w:t>
            </w:r>
          </w:p>
        </w:tc>
        <w:tc>
          <w:tcPr>
            <w:tcW w:w="337" w:type="pct"/>
            <w:noWrap w:val="0"/>
            <w:vAlign w:val="center"/>
          </w:tcPr>
          <w:p w14:paraId="73A4402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384" w:type="pct"/>
            <w:noWrap w:val="0"/>
            <w:vAlign w:val="center"/>
          </w:tcPr>
          <w:p w14:paraId="219FC2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813670</w:t>
            </w:r>
          </w:p>
        </w:tc>
      </w:tr>
      <w:tr w14:paraId="6F68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4" w:type="pct"/>
            <w:noWrap w:val="0"/>
            <w:vAlign w:val="center"/>
          </w:tcPr>
          <w:p w14:paraId="502B5A1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10</w:t>
            </w:r>
          </w:p>
        </w:tc>
        <w:tc>
          <w:tcPr>
            <w:tcW w:w="147" w:type="pct"/>
            <w:vMerge w:val="continue"/>
            <w:noWrap w:val="0"/>
            <w:vAlign w:val="center"/>
          </w:tcPr>
          <w:p w14:paraId="6E264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026C2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2幢502室</w:t>
            </w:r>
          </w:p>
        </w:tc>
        <w:tc>
          <w:tcPr>
            <w:tcW w:w="360" w:type="pct"/>
            <w:noWrap w:val="0"/>
            <w:vAlign w:val="center"/>
          </w:tcPr>
          <w:p w14:paraId="73E57E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84.19</w:t>
            </w:r>
          </w:p>
        </w:tc>
        <w:tc>
          <w:tcPr>
            <w:tcW w:w="641" w:type="pct"/>
            <w:noWrap w:val="0"/>
            <w:vAlign w:val="center"/>
          </w:tcPr>
          <w:p w14:paraId="1DAF24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rPr>
              <w:t>2幢自行车库8</w:t>
            </w:r>
          </w:p>
        </w:tc>
        <w:tc>
          <w:tcPr>
            <w:tcW w:w="336" w:type="pct"/>
            <w:noWrap w:val="0"/>
            <w:vAlign w:val="center"/>
          </w:tcPr>
          <w:p w14:paraId="020BD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5.67</w:t>
            </w:r>
          </w:p>
        </w:tc>
        <w:tc>
          <w:tcPr>
            <w:tcW w:w="373" w:type="pct"/>
            <w:tcBorders>
              <w:right w:val="single" w:color="auto" w:sz="4" w:space="0"/>
            </w:tcBorders>
            <w:noWrap w:val="0"/>
            <w:vAlign w:val="center"/>
          </w:tcPr>
          <w:p w14:paraId="62234E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692880</w:t>
            </w:r>
          </w:p>
        </w:tc>
        <w:tc>
          <w:tcPr>
            <w:tcW w:w="185" w:type="pct"/>
            <w:tcBorders>
              <w:right w:val="single" w:color="auto" w:sz="4" w:space="0"/>
            </w:tcBorders>
            <w:noWrap w:val="0"/>
            <w:vAlign w:val="center"/>
          </w:tcPr>
          <w:p w14:paraId="229B5D0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30</w:t>
            </w:r>
          </w:p>
        </w:tc>
        <w:tc>
          <w:tcPr>
            <w:tcW w:w="155" w:type="pct"/>
            <w:vMerge w:val="continue"/>
            <w:tcBorders>
              <w:left w:val="single" w:color="auto" w:sz="4" w:space="0"/>
            </w:tcBorders>
            <w:noWrap w:val="0"/>
            <w:vAlign w:val="center"/>
          </w:tcPr>
          <w:p w14:paraId="5C15DBE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1F32C7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17幢404室</w:t>
            </w:r>
          </w:p>
        </w:tc>
        <w:tc>
          <w:tcPr>
            <w:tcW w:w="355" w:type="pct"/>
            <w:noWrap w:val="0"/>
            <w:vAlign w:val="center"/>
          </w:tcPr>
          <w:p w14:paraId="17118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83.77</w:t>
            </w:r>
          </w:p>
        </w:tc>
        <w:tc>
          <w:tcPr>
            <w:tcW w:w="576" w:type="pct"/>
            <w:noWrap w:val="0"/>
            <w:vAlign w:val="center"/>
          </w:tcPr>
          <w:p w14:paraId="502E579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17幢车库7</w:t>
            </w:r>
          </w:p>
        </w:tc>
        <w:tc>
          <w:tcPr>
            <w:tcW w:w="337" w:type="pct"/>
            <w:noWrap w:val="0"/>
            <w:vAlign w:val="center"/>
          </w:tcPr>
          <w:p w14:paraId="35D32CE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384" w:type="pct"/>
            <w:noWrap w:val="0"/>
            <w:vAlign w:val="center"/>
          </w:tcPr>
          <w:p w14:paraId="112FA1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797877</w:t>
            </w:r>
          </w:p>
        </w:tc>
      </w:tr>
      <w:tr w14:paraId="4043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84" w:type="pct"/>
            <w:noWrap w:val="0"/>
            <w:vAlign w:val="center"/>
          </w:tcPr>
          <w:p w14:paraId="616C576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11</w:t>
            </w:r>
          </w:p>
        </w:tc>
        <w:tc>
          <w:tcPr>
            <w:tcW w:w="147" w:type="pct"/>
            <w:vMerge w:val="continue"/>
            <w:noWrap w:val="0"/>
            <w:vAlign w:val="center"/>
          </w:tcPr>
          <w:p w14:paraId="1B710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0B46A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3幢202室</w:t>
            </w:r>
          </w:p>
        </w:tc>
        <w:tc>
          <w:tcPr>
            <w:tcW w:w="360" w:type="pct"/>
            <w:noWrap w:val="0"/>
            <w:vAlign w:val="center"/>
          </w:tcPr>
          <w:p w14:paraId="588E14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84.82</w:t>
            </w:r>
          </w:p>
        </w:tc>
        <w:tc>
          <w:tcPr>
            <w:tcW w:w="641" w:type="pct"/>
            <w:noWrap w:val="0"/>
            <w:vAlign w:val="center"/>
          </w:tcPr>
          <w:p w14:paraId="0379166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3幢自行车库2</w:t>
            </w:r>
          </w:p>
        </w:tc>
        <w:tc>
          <w:tcPr>
            <w:tcW w:w="336" w:type="pct"/>
            <w:noWrap w:val="0"/>
            <w:vAlign w:val="center"/>
          </w:tcPr>
          <w:p w14:paraId="5CE3FA4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14.10</w:t>
            </w:r>
          </w:p>
        </w:tc>
        <w:tc>
          <w:tcPr>
            <w:tcW w:w="373" w:type="pct"/>
            <w:tcBorders>
              <w:right w:val="single" w:color="auto" w:sz="4" w:space="0"/>
            </w:tcBorders>
            <w:noWrap w:val="0"/>
            <w:vAlign w:val="center"/>
          </w:tcPr>
          <w:p w14:paraId="2A6B6F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736983</w:t>
            </w:r>
          </w:p>
        </w:tc>
        <w:tc>
          <w:tcPr>
            <w:tcW w:w="185" w:type="pct"/>
            <w:tcBorders>
              <w:right w:val="single" w:color="auto" w:sz="4" w:space="0"/>
            </w:tcBorders>
            <w:noWrap w:val="0"/>
            <w:vAlign w:val="center"/>
          </w:tcPr>
          <w:p w14:paraId="5F9C12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31</w:t>
            </w:r>
          </w:p>
        </w:tc>
        <w:tc>
          <w:tcPr>
            <w:tcW w:w="155" w:type="pct"/>
            <w:vMerge w:val="continue"/>
            <w:tcBorders>
              <w:left w:val="single" w:color="auto" w:sz="4" w:space="0"/>
            </w:tcBorders>
            <w:noWrap w:val="0"/>
            <w:vAlign w:val="center"/>
          </w:tcPr>
          <w:p w14:paraId="7E4917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007594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17幢406室</w:t>
            </w:r>
          </w:p>
        </w:tc>
        <w:tc>
          <w:tcPr>
            <w:tcW w:w="355" w:type="pct"/>
            <w:noWrap w:val="0"/>
            <w:vAlign w:val="center"/>
          </w:tcPr>
          <w:p w14:paraId="4A46A7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83.77</w:t>
            </w:r>
          </w:p>
        </w:tc>
        <w:tc>
          <w:tcPr>
            <w:tcW w:w="576" w:type="pct"/>
            <w:noWrap w:val="0"/>
            <w:vAlign w:val="center"/>
          </w:tcPr>
          <w:p w14:paraId="0E97B9A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17幢车库12</w:t>
            </w:r>
          </w:p>
        </w:tc>
        <w:tc>
          <w:tcPr>
            <w:tcW w:w="337" w:type="pct"/>
            <w:noWrap w:val="0"/>
            <w:vAlign w:val="center"/>
          </w:tcPr>
          <w:p w14:paraId="05410AD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w:t>
            </w:r>
          </w:p>
        </w:tc>
        <w:tc>
          <w:tcPr>
            <w:tcW w:w="384" w:type="pct"/>
            <w:noWrap w:val="0"/>
            <w:vAlign w:val="center"/>
          </w:tcPr>
          <w:p w14:paraId="1E0284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806877</w:t>
            </w:r>
          </w:p>
        </w:tc>
      </w:tr>
      <w:tr w14:paraId="5142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0A2011D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12</w:t>
            </w:r>
          </w:p>
        </w:tc>
        <w:tc>
          <w:tcPr>
            <w:tcW w:w="147" w:type="pct"/>
            <w:vMerge w:val="continue"/>
            <w:noWrap w:val="0"/>
            <w:vAlign w:val="center"/>
          </w:tcPr>
          <w:p w14:paraId="5AB3B0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597026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3幢203室</w:t>
            </w:r>
          </w:p>
        </w:tc>
        <w:tc>
          <w:tcPr>
            <w:tcW w:w="360" w:type="pct"/>
            <w:noWrap w:val="0"/>
            <w:vAlign w:val="center"/>
          </w:tcPr>
          <w:p w14:paraId="2F8E0C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84.82</w:t>
            </w:r>
          </w:p>
        </w:tc>
        <w:tc>
          <w:tcPr>
            <w:tcW w:w="641" w:type="pct"/>
            <w:noWrap w:val="0"/>
            <w:vAlign w:val="center"/>
          </w:tcPr>
          <w:p w14:paraId="620F21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3幢自行车库9</w:t>
            </w:r>
          </w:p>
        </w:tc>
        <w:tc>
          <w:tcPr>
            <w:tcW w:w="336" w:type="pct"/>
            <w:noWrap w:val="0"/>
            <w:vAlign w:val="center"/>
          </w:tcPr>
          <w:p w14:paraId="08A604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5.67</w:t>
            </w:r>
          </w:p>
        </w:tc>
        <w:tc>
          <w:tcPr>
            <w:tcW w:w="373" w:type="pct"/>
            <w:tcBorders>
              <w:right w:val="single" w:color="auto" w:sz="4" w:space="0"/>
            </w:tcBorders>
            <w:noWrap w:val="0"/>
            <w:vAlign w:val="center"/>
          </w:tcPr>
          <w:p w14:paraId="7FADE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711694</w:t>
            </w:r>
          </w:p>
        </w:tc>
        <w:tc>
          <w:tcPr>
            <w:tcW w:w="185" w:type="pct"/>
            <w:tcBorders>
              <w:right w:val="single" w:color="auto" w:sz="4" w:space="0"/>
            </w:tcBorders>
            <w:noWrap w:val="0"/>
            <w:vAlign w:val="center"/>
          </w:tcPr>
          <w:p w14:paraId="7072E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32</w:t>
            </w:r>
          </w:p>
        </w:tc>
        <w:tc>
          <w:tcPr>
            <w:tcW w:w="155" w:type="pct"/>
            <w:vMerge w:val="continue"/>
            <w:tcBorders>
              <w:left w:val="single" w:color="auto" w:sz="4" w:space="0"/>
            </w:tcBorders>
            <w:noWrap w:val="0"/>
            <w:vAlign w:val="center"/>
          </w:tcPr>
          <w:p w14:paraId="1C1601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45FC58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17幢501室</w:t>
            </w:r>
          </w:p>
        </w:tc>
        <w:tc>
          <w:tcPr>
            <w:tcW w:w="355" w:type="pct"/>
            <w:noWrap w:val="0"/>
            <w:vAlign w:val="center"/>
          </w:tcPr>
          <w:p w14:paraId="1F7BF1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83.18</w:t>
            </w:r>
          </w:p>
        </w:tc>
        <w:tc>
          <w:tcPr>
            <w:tcW w:w="576" w:type="pct"/>
            <w:noWrap w:val="0"/>
            <w:vAlign w:val="center"/>
          </w:tcPr>
          <w:p w14:paraId="2A350A8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17幢车库2</w:t>
            </w:r>
          </w:p>
        </w:tc>
        <w:tc>
          <w:tcPr>
            <w:tcW w:w="337" w:type="pct"/>
            <w:noWrap w:val="0"/>
            <w:vAlign w:val="center"/>
          </w:tcPr>
          <w:p w14:paraId="68469A1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21</w:t>
            </w:r>
          </w:p>
        </w:tc>
        <w:tc>
          <w:tcPr>
            <w:tcW w:w="384" w:type="pct"/>
            <w:noWrap w:val="0"/>
            <w:vAlign w:val="center"/>
          </w:tcPr>
          <w:p w14:paraId="1D0434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786117</w:t>
            </w:r>
          </w:p>
        </w:tc>
      </w:tr>
      <w:tr w14:paraId="2311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08BB870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13</w:t>
            </w:r>
          </w:p>
        </w:tc>
        <w:tc>
          <w:tcPr>
            <w:tcW w:w="147" w:type="pct"/>
            <w:vMerge w:val="continue"/>
            <w:noWrap w:val="0"/>
            <w:vAlign w:val="center"/>
          </w:tcPr>
          <w:p w14:paraId="443401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46F2DB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3幢405室</w:t>
            </w:r>
          </w:p>
        </w:tc>
        <w:tc>
          <w:tcPr>
            <w:tcW w:w="360" w:type="pct"/>
            <w:noWrap w:val="0"/>
            <w:vAlign w:val="center"/>
          </w:tcPr>
          <w:p w14:paraId="3F2623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84.82</w:t>
            </w:r>
          </w:p>
        </w:tc>
        <w:tc>
          <w:tcPr>
            <w:tcW w:w="641" w:type="pct"/>
            <w:noWrap w:val="0"/>
            <w:vAlign w:val="center"/>
          </w:tcPr>
          <w:p w14:paraId="627833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3幢自行车库17</w:t>
            </w:r>
          </w:p>
        </w:tc>
        <w:tc>
          <w:tcPr>
            <w:tcW w:w="336" w:type="pct"/>
            <w:noWrap w:val="0"/>
            <w:vAlign w:val="center"/>
          </w:tcPr>
          <w:p w14:paraId="18C310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5.67</w:t>
            </w:r>
          </w:p>
        </w:tc>
        <w:tc>
          <w:tcPr>
            <w:tcW w:w="373" w:type="pct"/>
            <w:tcBorders>
              <w:right w:val="single" w:color="auto" w:sz="4" w:space="0"/>
            </w:tcBorders>
            <w:noWrap w:val="0"/>
            <w:vAlign w:val="center"/>
          </w:tcPr>
          <w:p w14:paraId="415611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718571</w:t>
            </w:r>
          </w:p>
        </w:tc>
        <w:tc>
          <w:tcPr>
            <w:tcW w:w="2472" w:type="pct"/>
            <w:gridSpan w:val="7"/>
            <w:noWrap w:val="0"/>
            <w:vAlign w:val="center"/>
          </w:tcPr>
          <w:p w14:paraId="3D0FC3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w:t>
            </w:r>
          </w:p>
        </w:tc>
      </w:tr>
      <w:tr w14:paraId="6FD8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4BE2373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14</w:t>
            </w:r>
          </w:p>
        </w:tc>
        <w:tc>
          <w:tcPr>
            <w:tcW w:w="147" w:type="pct"/>
            <w:vMerge w:val="continue"/>
            <w:noWrap w:val="0"/>
            <w:vAlign w:val="center"/>
          </w:tcPr>
          <w:p w14:paraId="2AA6D7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0484D3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3幢501室</w:t>
            </w:r>
          </w:p>
        </w:tc>
        <w:tc>
          <w:tcPr>
            <w:tcW w:w="360" w:type="pct"/>
            <w:noWrap w:val="0"/>
            <w:vAlign w:val="center"/>
          </w:tcPr>
          <w:p w14:paraId="50022B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84.22</w:t>
            </w:r>
          </w:p>
        </w:tc>
        <w:tc>
          <w:tcPr>
            <w:tcW w:w="641" w:type="pct"/>
            <w:noWrap w:val="0"/>
            <w:vAlign w:val="center"/>
          </w:tcPr>
          <w:p w14:paraId="2FB9D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3幢自行车库5</w:t>
            </w:r>
          </w:p>
        </w:tc>
        <w:tc>
          <w:tcPr>
            <w:tcW w:w="336" w:type="pct"/>
            <w:noWrap w:val="0"/>
            <w:vAlign w:val="center"/>
          </w:tcPr>
          <w:p w14:paraId="07A638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6.60</w:t>
            </w:r>
          </w:p>
        </w:tc>
        <w:tc>
          <w:tcPr>
            <w:tcW w:w="373" w:type="pct"/>
            <w:tcBorders>
              <w:right w:val="single" w:color="auto" w:sz="4" w:space="0"/>
            </w:tcBorders>
            <w:noWrap w:val="0"/>
            <w:vAlign w:val="center"/>
          </w:tcPr>
          <w:p w14:paraId="7104C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709433</w:t>
            </w:r>
          </w:p>
        </w:tc>
        <w:tc>
          <w:tcPr>
            <w:tcW w:w="185" w:type="pct"/>
            <w:tcBorders>
              <w:right w:val="single" w:color="auto" w:sz="4" w:space="0"/>
            </w:tcBorders>
            <w:noWrap w:val="0"/>
            <w:vAlign w:val="center"/>
          </w:tcPr>
          <w:p w14:paraId="2DCE5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33</w:t>
            </w:r>
          </w:p>
        </w:tc>
        <w:tc>
          <w:tcPr>
            <w:tcW w:w="155" w:type="pct"/>
            <w:vMerge w:val="restart"/>
            <w:tcBorders>
              <w:left w:val="single" w:color="auto" w:sz="4" w:space="0"/>
            </w:tcBorders>
            <w:noWrap w:val="0"/>
            <w:vAlign w:val="center"/>
          </w:tcPr>
          <w:p w14:paraId="4E7A0E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r>
              <w:rPr>
                <w:rFonts w:hint="eastAsia" w:ascii="宋体" w:hAnsi="宋体" w:eastAsia="宋体" w:cs="宋体"/>
                <w:i w:val="0"/>
                <w:iCs w:val="0"/>
                <w:color w:val="auto"/>
                <w:sz w:val="15"/>
                <w:szCs w:val="15"/>
                <w:u w:val="none"/>
                <w:lang w:val="en-US" w:eastAsia="zh-CN"/>
              </w:rPr>
              <w:t>黄山公寓</w:t>
            </w:r>
          </w:p>
        </w:tc>
        <w:tc>
          <w:tcPr>
            <w:tcW w:w="478" w:type="pct"/>
            <w:noWrap w:val="0"/>
            <w:vAlign w:val="center"/>
          </w:tcPr>
          <w:p w14:paraId="48580D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10幢201室</w:t>
            </w:r>
          </w:p>
        </w:tc>
        <w:tc>
          <w:tcPr>
            <w:tcW w:w="355" w:type="pct"/>
            <w:noWrap w:val="0"/>
            <w:vAlign w:val="center"/>
          </w:tcPr>
          <w:p w14:paraId="2A284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144.77</w:t>
            </w:r>
          </w:p>
        </w:tc>
        <w:tc>
          <w:tcPr>
            <w:tcW w:w="576" w:type="pct"/>
            <w:noWrap w:val="0"/>
            <w:vAlign w:val="center"/>
          </w:tcPr>
          <w:p w14:paraId="483BF34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37" w:type="pct"/>
            <w:noWrap w:val="0"/>
            <w:vAlign w:val="center"/>
          </w:tcPr>
          <w:p w14:paraId="1C79458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84" w:type="pct"/>
            <w:noWrap w:val="0"/>
            <w:vAlign w:val="center"/>
          </w:tcPr>
          <w:p w14:paraId="508E1E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1162786</w:t>
            </w:r>
          </w:p>
        </w:tc>
      </w:tr>
      <w:tr w14:paraId="7F5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605E899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15</w:t>
            </w:r>
          </w:p>
        </w:tc>
        <w:tc>
          <w:tcPr>
            <w:tcW w:w="147" w:type="pct"/>
            <w:vMerge w:val="continue"/>
            <w:noWrap w:val="0"/>
            <w:vAlign w:val="center"/>
          </w:tcPr>
          <w:p w14:paraId="0B7404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273A91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11幢503室</w:t>
            </w:r>
          </w:p>
        </w:tc>
        <w:tc>
          <w:tcPr>
            <w:tcW w:w="360" w:type="pct"/>
            <w:noWrap w:val="0"/>
            <w:vAlign w:val="center"/>
          </w:tcPr>
          <w:p w14:paraId="7ACCC4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108.23</w:t>
            </w:r>
          </w:p>
        </w:tc>
        <w:tc>
          <w:tcPr>
            <w:tcW w:w="641" w:type="pct"/>
            <w:noWrap w:val="0"/>
            <w:vAlign w:val="center"/>
          </w:tcPr>
          <w:p w14:paraId="0F59790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11幢车库9</w:t>
            </w:r>
          </w:p>
        </w:tc>
        <w:tc>
          <w:tcPr>
            <w:tcW w:w="336" w:type="pct"/>
            <w:noWrap w:val="0"/>
            <w:vAlign w:val="center"/>
          </w:tcPr>
          <w:p w14:paraId="6C689D7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22.80</w:t>
            </w:r>
          </w:p>
        </w:tc>
        <w:tc>
          <w:tcPr>
            <w:tcW w:w="373" w:type="pct"/>
            <w:tcBorders>
              <w:right w:val="single" w:color="auto" w:sz="4" w:space="0"/>
            </w:tcBorders>
            <w:noWrap w:val="0"/>
            <w:vAlign w:val="center"/>
          </w:tcPr>
          <w:p w14:paraId="2E90C5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982861</w:t>
            </w:r>
          </w:p>
        </w:tc>
        <w:tc>
          <w:tcPr>
            <w:tcW w:w="185" w:type="pct"/>
            <w:tcBorders>
              <w:right w:val="single" w:color="auto" w:sz="4" w:space="0"/>
            </w:tcBorders>
            <w:noWrap w:val="0"/>
            <w:vAlign w:val="center"/>
          </w:tcPr>
          <w:p w14:paraId="3E391F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34</w:t>
            </w:r>
          </w:p>
        </w:tc>
        <w:tc>
          <w:tcPr>
            <w:tcW w:w="155" w:type="pct"/>
            <w:vMerge w:val="continue"/>
            <w:tcBorders>
              <w:left w:val="single" w:color="auto" w:sz="4" w:space="0"/>
            </w:tcBorders>
            <w:noWrap w:val="0"/>
            <w:vAlign w:val="center"/>
          </w:tcPr>
          <w:p w14:paraId="0CEE9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50643B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10幢202室</w:t>
            </w:r>
          </w:p>
        </w:tc>
        <w:tc>
          <w:tcPr>
            <w:tcW w:w="355" w:type="pct"/>
            <w:noWrap w:val="0"/>
            <w:vAlign w:val="center"/>
          </w:tcPr>
          <w:p w14:paraId="27C464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143.41</w:t>
            </w:r>
          </w:p>
        </w:tc>
        <w:tc>
          <w:tcPr>
            <w:tcW w:w="576" w:type="pct"/>
            <w:noWrap w:val="0"/>
            <w:vAlign w:val="center"/>
          </w:tcPr>
          <w:p w14:paraId="5E45B4A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37" w:type="pct"/>
            <w:noWrap w:val="0"/>
            <w:vAlign w:val="center"/>
          </w:tcPr>
          <w:p w14:paraId="17A99F7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84" w:type="pct"/>
            <w:noWrap w:val="0"/>
            <w:vAlign w:val="center"/>
          </w:tcPr>
          <w:p w14:paraId="06866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1129277</w:t>
            </w:r>
          </w:p>
        </w:tc>
      </w:tr>
      <w:tr w14:paraId="0FF1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7686722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16</w:t>
            </w:r>
          </w:p>
        </w:tc>
        <w:tc>
          <w:tcPr>
            <w:tcW w:w="147" w:type="pct"/>
            <w:vMerge w:val="continue"/>
            <w:noWrap w:val="0"/>
            <w:vAlign w:val="center"/>
          </w:tcPr>
          <w:p w14:paraId="323983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75A262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11幢504室</w:t>
            </w:r>
          </w:p>
        </w:tc>
        <w:tc>
          <w:tcPr>
            <w:tcW w:w="360" w:type="pct"/>
            <w:noWrap w:val="0"/>
            <w:vAlign w:val="center"/>
          </w:tcPr>
          <w:p w14:paraId="427BCF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108.23</w:t>
            </w:r>
          </w:p>
        </w:tc>
        <w:tc>
          <w:tcPr>
            <w:tcW w:w="641" w:type="pct"/>
            <w:noWrap w:val="0"/>
            <w:vAlign w:val="center"/>
          </w:tcPr>
          <w:p w14:paraId="0BACC99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11幢车库10</w:t>
            </w:r>
          </w:p>
        </w:tc>
        <w:tc>
          <w:tcPr>
            <w:tcW w:w="336" w:type="pct"/>
            <w:noWrap w:val="0"/>
            <w:vAlign w:val="center"/>
          </w:tcPr>
          <w:p w14:paraId="62ECD4F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22.80</w:t>
            </w:r>
          </w:p>
        </w:tc>
        <w:tc>
          <w:tcPr>
            <w:tcW w:w="373" w:type="pct"/>
            <w:tcBorders>
              <w:right w:val="single" w:color="auto" w:sz="4" w:space="0"/>
            </w:tcBorders>
            <w:noWrap w:val="0"/>
            <w:vAlign w:val="center"/>
          </w:tcPr>
          <w:p w14:paraId="56429C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982861</w:t>
            </w:r>
          </w:p>
        </w:tc>
        <w:tc>
          <w:tcPr>
            <w:tcW w:w="185" w:type="pct"/>
            <w:tcBorders>
              <w:right w:val="single" w:color="auto" w:sz="4" w:space="0"/>
            </w:tcBorders>
            <w:noWrap w:val="0"/>
            <w:vAlign w:val="center"/>
          </w:tcPr>
          <w:p w14:paraId="14E30D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13"/>
                <w:szCs w:val="13"/>
                <w:u w:val="none"/>
                <w:lang w:val="en-US" w:eastAsia="zh-CN"/>
              </w:rPr>
            </w:pPr>
            <w:r>
              <w:rPr>
                <w:rFonts w:hint="eastAsia" w:ascii="宋体" w:hAnsi="宋体" w:eastAsia="宋体" w:cs="宋体"/>
                <w:b/>
                <w:bCs/>
                <w:i w:val="0"/>
                <w:iCs w:val="0"/>
                <w:color w:val="auto"/>
                <w:sz w:val="13"/>
                <w:szCs w:val="13"/>
                <w:u w:val="none"/>
                <w:lang w:val="en-US" w:eastAsia="zh-CN"/>
              </w:rPr>
              <w:t>35</w:t>
            </w:r>
          </w:p>
        </w:tc>
        <w:tc>
          <w:tcPr>
            <w:tcW w:w="155" w:type="pct"/>
            <w:vMerge w:val="continue"/>
            <w:tcBorders>
              <w:left w:val="single" w:color="auto" w:sz="4" w:space="0"/>
            </w:tcBorders>
            <w:noWrap w:val="0"/>
            <w:vAlign w:val="center"/>
          </w:tcPr>
          <w:p w14:paraId="26962D9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sz w:val="15"/>
                <w:szCs w:val="15"/>
                <w:u w:val="none"/>
                <w:lang w:val="en-US" w:eastAsia="zh-CN"/>
              </w:rPr>
            </w:pPr>
          </w:p>
        </w:tc>
        <w:tc>
          <w:tcPr>
            <w:tcW w:w="478" w:type="pct"/>
            <w:noWrap w:val="0"/>
            <w:vAlign w:val="center"/>
          </w:tcPr>
          <w:p w14:paraId="2D41A5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11幢101室</w:t>
            </w:r>
          </w:p>
        </w:tc>
        <w:tc>
          <w:tcPr>
            <w:tcW w:w="355" w:type="pct"/>
            <w:noWrap w:val="0"/>
            <w:vAlign w:val="center"/>
          </w:tcPr>
          <w:p w14:paraId="004AD6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150.85</w:t>
            </w:r>
          </w:p>
        </w:tc>
        <w:tc>
          <w:tcPr>
            <w:tcW w:w="576" w:type="pct"/>
            <w:noWrap w:val="0"/>
            <w:vAlign w:val="center"/>
          </w:tcPr>
          <w:p w14:paraId="15C948B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37" w:type="pct"/>
            <w:noWrap w:val="0"/>
            <w:vAlign w:val="center"/>
          </w:tcPr>
          <w:p w14:paraId="00D257A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84" w:type="pct"/>
            <w:noWrap w:val="0"/>
            <w:vAlign w:val="center"/>
          </w:tcPr>
          <w:p w14:paraId="28E8D8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1186638</w:t>
            </w:r>
          </w:p>
        </w:tc>
      </w:tr>
      <w:tr w14:paraId="0E2F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7E738BF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rPr>
            </w:pPr>
            <w:r>
              <w:rPr>
                <w:rFonts w:hint="eastAsia" w:ascii="宋体" w:hAnsi="宋体" w:eastAsia="宋体" w:cs="宋体"/>
                <w:b/>
                <w:bCs w:val="0"/>
                <w:color w:val="auto"/>
                <w:sz w:val="13"/>
                <w:szCs w:val="13"/>
              </w:rPr>
              <w:t>17</w:t>
            </w:r>
          </w:p>
        </w:tc>
        <w:tc>
          <w:tcPr>
            <w:tcW w:w="147" w:type="pct"/>
            <w:vMerge w:val="continue"/>
            <w:noWrap w:val="0"/>
            <w:vAlign w:val="center"/>
          </w:tcPr>
          <w:p w14:paraId="04DADB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1B60AF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13幢103室</w:t>
            </w:r>
          </w:p>
        </w:tc>
        <w:tc>
          <w:tcPr>
            <w:tcW w:w="360" w:type="pct"/>
            <w:noWrap w:val="0"/>
            <w:vAlign w:val="center"/>
          </w:tcPr>
          <w:p w14:paraId="126F3F5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641" w:type="pct"/>
            <w:noWrap w:val="0"/>
            <w:vAlign w:val="center"/>
          </w:tcPr>
          <w:p w14:paraId="0EE7AE6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13幢自行车库7</w:t>
            </w:r>
          </w:p>
        </w:tc>
        <w:tc>
          <w:tcPr>
            <w:tcW w:w="336" w:type="pct"/>
            <w:noWrap w:val="0"/>
            <w:vAlign w:val="center"/>
          </w:tcPr>
          <w:p w14:paraId="5F3B8A5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5.59</w:t>
            </w:r>
          </w:p>
        </w:tc>
        <w:tc>
          <w:tcPr>
            <w:tcW w:w="373" w:type="pct"/>
            <w:tcBorders>
              <w:right w:val="single" w:color="auto" w:sz="4" w:space="0"/>
            </w:tcBorders>
            <w:noWrap w:val="0"/>
            <w:vAlign w:val="center"/>
          </w:tcPr>
          <w:p w14:paraId="6783AD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1039964</w:t>
            </w:r>
          </w:p>
        </w:tc>
        <w:tc>
          <w:tcPr>
            <w:tcW w:w="185" w:type="pct"/>
            <w:tcBorders>
              <w:right w:val="single" w:color="auto" w:sz="4" w:space="0"/>
            </w:tcBorders>
            <w:noWrap w:val="0"/>
            <w:vAlign w:val="center"/>
          </w:tcPr>
          <w:p w14:paraId="2113263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auto"/>
                <w:kern w:val="2"/>
                <w:sz w:val="13"/>
                <w:szCs w:val="13"/>
                <w:u w:val="none"/>
                <w:lang w:val="en-US" w:eastAsia="zh-CN" w:bidi="ar-SA"/>
              </w:rPr>
            </w:pPr>
            <w:r>
              <w:rPr>
                <w:rFonts w:hint="eastAsia" w:ascii="宋体" w:hAnsi="宋体" w:eastAsia="宋体" w:cs="宋体"/>
                <w:b/>
                <w:bCs/>
                <w:i w:val="0"/>
                <w:iCs w:val="0"/>
                <w:color w:val="auto"/>
                <w:sz w:val="13"/>
                <w:szCs w:val="13"/>
                <w:u w:val="none"/>
                <w:lang w:val="en-US" w:eastAsia="zh-CN"/>
              </w:rPr>
              <w:t>36</w:t>
            </w:r>
          </w:p>
        </w:tc>
        <w:tc>
          <w:tcPr>
            <w:tcW w:w="155" w:type="pct"/>
            <w:vMerge w:val="continue"/>
            <w:tcBorders>
              <w:left w:val="single" w:color="auto" w:sz="4" w:space="0"/>
            </w:tcBorders>
            <w:noWrap w:val="0"/>
            <w:vAlign w:val="center"/>
          </w:tcPr>
          <w:p w14:paraId="4C654F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78" w:type="pct"/>
            <w:noWrap w:val="0"/>
            <w:vAlign w:val="center"/>
          </w:tcPr>
          <w:p w14:paraId="0FE4D8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11幢102室</w:t>
            </w:r>
          </w:p>
        </w:tc>
        <w:tc>
          <w:tcPr>
            <w:tcW w:w="355" w:type="pct"/>
            <w:noWrap w:val="0"/>
            <w:vAlign w:val="center"/>
          </w:tcPr>
          <w:p w14:paraId="2E7BFE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149.49</w:t>
            </w:r>
          </w:p>
        </w:tc>
        <w:tc>
          <w:tcPr>
            <w:tcW w:w="576" w:type="pct"/>
            <w:noWrap w:val="0"/>
            <w:vAlign w:val="center"/>
          </w:tcPr>
          <w:p w14:paraId="66B84F2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37" w:type="pct"/>
            <w:noWrap w:val="0"/>
            <w:vAlign w:val="center"/>
          </w:tcPr>
          <w:p w14:paraId="5931396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84" w:type="pct"/>
            <w:noWrap w:val="0"/>
            <w:vAlign w:val="center"/>
          </w:tcPr>
          <w:p w14:paraId="621F63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1152882</w:t>
            </w:r>
          </w:p>
        </w:tc>
      </w:tr>
      <w:tr w14:paraId="6CA3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1DF8CBC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lang w:val="en-US" w:eastAsia="zh-CN"/>
              </w:rPr>
            </w:pPr>
            <w:r>
              <w:rPr>
                <w:rFonts w:hint="eastAsia" w:ascii="宋体" w:hAnsi="宋体" w:eastAsia="宋体" w:cs="宋体"/>
                <w:b/>
                <w:bCs w:val="0"/>
                <w:color w:val="auto"/>
                <w:sz w:val="13"/>
                <w:szCs w:val="13"/>
                <w:lang w:val="en-US" w:eastAsia="zh-CN"/>
              </w:rPr>
              <w:t>18</w:t>
            </w:r>
          </w:p>
        </w:tc>
        <w:tc>
          <w:tcPr>
            <w:tcW w:w="147" w:type="pct"/>
            <w:vMerge w:val="continue"/>
            <w:noWrap w:val="0"/>
            <w:vAlign w:val="center"/>
          </w:tcPr>
          <w:p w14:paraId="0C3BA3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06A5AA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13幢203室</w:t>
            </w:r>
          </w:p>
        </w:tc>
        <w:tc>
          <w:tcPr>
            <w:tcW w:w="360" w:type="pct"/>
            <w:noWrap w:val="0"/>
            <w:vAlign w:val="center"/>
          </w:tcPr>
          <w:p w14:paraId="78EE98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641" w:type="pct"/>
            <w:noWrap w:val="0"/>
            <w:vAlign w:val="center"/>
          </w:tcPr>
          <w:p w14:paraId="4F4B1AA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3"/>
                <w:szCs w:val="13"/>
                <w:u w:val="none"/>
                <w:lang w:val="en-US" w:eastAsia="zh-CN"/>
              </w:rPr>
              <w:t>13幢自行车库10</w:t>
            </w:r>
          </w:p>
        </w:tc>
        <w:tc>
          <w:tcPr>
            <w:tcW w:w="336" w:type="pct"/>
            <w:noWrap w:val="0"/>
            <w:vAlign w:val="center"/>
          </w:tcPr>
          <w:p w14:paraId="3E686FC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5.76</w:t>
            </w:r>
          </w:p>
        </w:tc>
        <w:tc>
          <w:tcPr>
            <w:tcW w:w="373" w:type="pct"/>
            <w:tcBorders>
              <w:right w:val="single" w:color="auto" w:sz="4" w:space="0"/>
            </w:tcBorders>
            <w:noWrap w:val="0"/>
            <w:vAlign w:val="center"/>
          </w:tcPr>
          <w:p w14:paraId="0BF4A3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1050706</w:t>
            </w:r>
          </w:p>
        </w:tc>
        <w:tc>
          <w:tcPr>
            <w:tcW w:w="185" w:type="pct"/>
            <w:tcBorders>
              <w:right w:val="single" w:color="auto" w:sz="4" w:space="0"/>
            </w:tcBorders>
            <w:noWrap w:val="0"/>
            <w:vAlign w:val="center"/>
          </w:tcPr>
          <w:p w14:paraId="60691C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kern w:val="2"/>
                <w:sz w:val="13"/>
                <w:szCs w:val="13"/>
                <w:u w:val="none"/>
                <w:lang w:val="en-US" w:eastAsia="zh-CN" w:bidi="ar-SA"/>
              </w:rPr>
            </w:pPr>
            <w:r>
              <w:rPr>
                <w:rFonts w:hint="eastAsia" w:ascii="宋体" w:hAnsi="宋体" w:eastAsia="宋体" w:cs="宋体"/>
                <w:b/>
                <w:bCs/>
                <w:i w:val="0"/>
                <w:iCs w:val="0"/>
                <w:color w:val="auto"/>
                <w:kern w:val="2"/>
                <w:sz w:val="13"/>
                <w:szCs w:val="13"/>
                <w:u w:val="none"/>
                <w:lang w:val="en-US" w:eastAsia="zh-CN" w:bidi="ar-SA"/>
              </w:rPr>
              <w:t>37</w:t>
            </w:r>
          </w:p>
        </w:tc>
        <w:tc>
          <w:tcPr>
            <w:tcW w:w="155" w:type="pct"/>
            <w:vMerge w:val="continue"/>
            <w:tcBorders>
              <w:left w:val="single" w:color="auto" w:sz="4" w:space="0"/>
            </w:tcBorders>
            <w:noWrap w:val="0"/>
            <w:vAlign w:val="center"/>
          </w:tcPr>
          <w:p w14:paraId="5BE4C0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78" w:type="pct"/>
            <w:noWrap w:val="0"/>
            <w:vAlign w:val="center"/>
          </w:tcPr>
          <w:p w14:paraId="667714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11幢201室</w:t>
            </w:r>
          </w:p>
        </w:tc>
        <w:tc>
          <w:tcPr>
            <w:tcW w:w="355" w:type="pct"/>
            <w:noWrap w:val="0"/>
            <w:vAlign w:val="center"/>
          </w:tcPr>
          <w:p w14:paraId="638BAD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144.99</w:t>
            </w:r>
          </w:p>
        </w:tc>
        <w:tc>
          <w:tcPr>
            <w:tcW w:w="576" w:type="pct"/>
            <w:noWrap w:val="0"/>
            <w:vAlign w:val="center"/>
          </w:tcPr>
          <w:p w14:paraId="07D7447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37" w:type="pct"/>
            <w:noWrap w:val="0"/>
            <w:vAlign w:val="center"/>
          </w:tcPr>
          <w:p w14:paraId="7B9A56B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84" w:type="pct"/>
            <w:noWrap w:val="0"/>
            <w:vAlign w:val="center"/>
          </w:tcPr>
          <w:p w14:paraId="4E386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1164553</w:t>
            </w:r>
          </w:p>
        </w:tc>
      </w:tr>
      <w:tr w14:paraId="6583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2E8A3F3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lang w:val="en-US" w:eastAsia="zh-CN"/>
              </w:rPr>
            </w:pPr>
            <w:r>
              <w:rPr>
                <w:rFonts w:hint="eastAsia" w:ascii="宋体" w:hAnsi="宋体" w:eastAsia="宋体" w:cs="宋体"/>
                <w:b/>
                <w:bCs w:val="0"/>
                <w:color w:val="auto"/>
                <w:sz w:val="13"/>
                <w:szCs w:val="13"/>
                <w:lang w:val="en-US" w:eastAsia="zh-CN"/>
              </w:rPr>
              <w:t>19</w:t>
            </w:r>
          </w:p>
        </w:tc>
        <w:tc>
          <w:tcPr>
            <w:tcW w:w="147" w:type="pct"/>
            <w:vMerge w:val="continue"/>
            <w:noWrap w:val="0"/>
            <w:vAlign w:val="center"/>
          </w:tcPr>
          <w:p w14:paraId="30C32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67176D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13幢204室</w:t>
            </w:r>
          </w:p>
        </w:tc>
        <w:tc>
          <w:tcPr>
            <w:tcW w:w="360" w:type="pct"/>
            <w:noWrap w:val="0"/>
            <w:vAlign w:val="center"/>
          </w:tcPr>
          <w:p w14:paraId="56DBAC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641" w:type="pct"/>
            <w:noWrap w:val="0"/>
            <w:vAlign w:val="center"/>
          </w:tcPr>
          <w:p w14:paraId="659A06D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3"/>
                <w:szCs w:val="13"/>
                <w:u w:val="none"/>
                <w:lang w:val="en-US" w:eastAsia="zh-CN"/>
              </w:rPr>
              <w:t>13幢自行车库11</w:t>
            </w:r>
          </w:p>
        </w:tc>
        <w:tc>
          <w:tcPr>
            <w:tcW w:w="336" w:type="pct"/>
            <w:noWrap w:val="0"/>
            <w:vAlign w:val="center"/>
          </w:tcPr>
          <w:p w14:paraId="27FFD02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16.92</w:t>
            </w:r>
          </w:p>
        </w:tc>
        <w:tc>
          <w:tcPr>
            <w:tcW w:w="373" w:type="pct"/>
            <w:tcBorders>
              <w:right w:val="single" w:color="auto" w:sz="4" w:space="0"/>
            </w:tcBorders>
            <w:noWrap w:val="0"/>
            <w:vAlign w:val="center"/>
          </w:tcPr>
          <w:p w14:paraId="30E3A4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1084186</w:t>
            </w:r>
          </w:p>
        </w:tc>
        <w:tc>
          <w:tcPr>
            <w:tcW w:w="185" w:type="pct"/>
            <w:tcBorders>
              <w:right w:val="single" w:color="auto" w:sz="4" w:space="0"/>
            </w:tcBorders>
            <w:noWrap w:val="0"/>
            <w:vAlign w:val="center"/>
          </w:tcPr>
          <w:p w14:paraId="1D7371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kern w:val="2"/>
                <w:sz w:val="13"/>
                <w:szCs w:val="13"/>
                <w:u w:val="none"/>
                <w:lang w:val="en-US" w:eastAsia="zh-CN" w:bidi="ar-SA"/>
              </w:rPr>
            </w:pPr>
            <w:r>
              <w:rPr>
                <w:rFonts w:hint="eastAsia" w:ascii="宋体" w:hAnsi="宋体" w:eastAsia="宋体" w:cs="宋体"/>
                <w:b/>
                <w:bCs/>
                <w:i w:val="0"/>
                <w:iCs w:val="0"/>
                <w:color w:val="auto"/>
                <w:kern w:val="2"/>
                <w:sz w:val="13"/>
                <w:szCs w:val="13"/>
                <w:u w:val="none"/>
                <w:lang w:val="en-US" w:eastAsia="zh-CN" w:bidi="ar-SA"/>
              </w:rPr>
              <w:t>38</w:t>
            </w:r>
          </w:p>
        </w:tc>
        <w:tc>
          <w:tcPr>
            <w:tcW w:w="155" w:type="pct"/>
            <w:vMerge w:val="continue"/>
            <w:tcBorders>
              <w:left w:val="single" w:color="auto" w:sz="4" w:space="0"/>
            </w:tcBorders>
            <w:noWrap w:val="0"/>
            <w:vAlign w:val="center"/>
          </w:tcPr>
          <w:p w14:paraId="17A2F2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78" w:type="pct"/>
            <w:noWrap w:val="0"/>
            <w:vAlign w:val="center"/>
          </w:tcPr>
          <w:p w14:paraId="450331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11幢202室</w:t>
            </w:r>
          </w:p>
        </w:tc>
        <w:tc>
          <w:tcPr>
            <w:tcW w:w="355" w:type="pct"/>
            <w:noWrap w:val="0"/>
            <w:vAlign w:val="center"/>
          </w:tcPr>
          <w:p w14:paraId="689DC1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143.63</w:t>
            </w:r>
          </w:p>
        </w:tc>
        <w:tc>
          <w:tcPr>
            <w:tcW w:w="576" w:type="pct"/>
            <w:noWrap w:val="0"/>
            <w:vAlign w:val="center"/>
          </w:tcPr>
          <w:p w14:paraId="4A597AE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37" w:type="pct"/>
            <w:noWrap w:val="0"/>
            <w:vAlign w:val="center"/>
          </w:tcPr>
          <w:p w14:paraId="2F4B082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w:t>
            </w:r>
          </w:p>
        </w:tc>
        <w:tc>
          <w:tcPr>
            <w:tcW w:w="384" w:type="pct"/>
            <w:noWrap w:val="0"/>
            <w:vAlign w:val="center"/>
          </w:tcPr>
          <w:p w14:paraId="7DD39B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1131009</w:t>
            </w:r>
          </w:p>
        </w:tc>
      </w:tr>
      <w:tr w14:paraId="31EC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84" w:type="pct"/>
            <w:noWrap w:val="0"/>
            <w:vAlign w:val="center"/>
          </w:tcPr>
          <w:p w14:paraId="2ADE1FA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val="0"/>
                <w:color w:val="auto"/>
                <w:sz w:val="13"/>
                <w:szCs w:val="13"/>
                <w:lang w:val="en-US" w:eastAsia="zh-CN"/>
              </w:rPr>
            </w:pPr>
            <w:r>
              <w:rPr>
                <w:rFonts w:hint="eastAsia" w:ascii="宋体" w:hAnsi="宋体" w:eastAsia="宋体" w:cs="宋体"/>
                <w:b/>
                <w:bCs w:val="0"/>
                <w:color w:val="auto"/>
                <w:sz w:val="13"/>
                <w:szCs w:val="13"/>
                <w:lang w:val="en-US" w:eastAsia="zh-CN"/>
              </w:rPr>
              <w:t>20</w:t>
            </w:r>
          </w:p>
        </w:tc>
        <w:tc>
          <w:tcPr>
            <w:tcW w:w="147" w:type="pct"/>
            <w:vMerge w:val="continue"/>
            <w:noWrap w:val="0"/>
            <w:vAlign w:val="center"/>
          </w:tcPr>
          <w:p w14:paraId="20EB7C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2"/>
                <w:sz w:val="15"/>
                <w:szCs w:val="15"/>
                <w:u w:val="none"/>
                <w:lang w:val="en-US" w:eastAsia="zh-CN" w:bidi="ar-SA"/>
              </w:rPr>
            </w:pPr>
          </w:p>
        </w:tc>
        <w:tc>
          <w:tcPr>
            <w:tcW w:w="483" w:type="pct"/>
            <w:noWrap w:val="0"/>
            <w:vAlign w:val="center"/>
          </w:tcPr>
          <w:p w14:paraId="1E6360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14幢103室</w:t>
            </w:r>
          </w:p>
        </w:tc>
        <w:tc>
          <w:tcPr>
            <w:tcW w:w="360" w:type="pct"/>
            <w:noWrap w:val="0"/>
            <w:vAlign w:val="center"/>
          </w:tcPr>
          <w:p w14:paraId="480F40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126.18</w:t>
            </w:r>
          </w:p>
        </w:tc>
        <w:tc>
          <w:tcPr>
            <w:tcW w:w="641" w:type="pct"/>
            <w:noWrap w:val="0"/>
            <w:vAlign w:val="center"/>
          </w:tcPr>
          <w:p w14:paraId="0746078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14幢车库7</w:t>
            </w:r>
          </w:p>
        </w:tc>
        <w:tc>
          <w:tcPr>
            <w:tcW w:w="336" w:type="pct"/>
            <w:noWrap w:val="0"/>
            <w:vAlign w:val="center"/>
          </w:tcPr>
          <w:p w14:paraId="6259C4D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sz w:val="15"/>
                <w:szCs w:val="15"/>
                <w:u w:val="none"/>
                <w:lang w:val="en-US" w:eastAsia="zh-CN"/>
              </w:rPr>
              <w:t>25.74</w:t>
            </w:r>
          </w:p>
        </w:tc>
        <w:tc>
          <w:tcPr>
            <w:tcW w:w="373" w:type="pct"/>
            <w:tcBorders>
              <w:right w:val="single" w:color="auto" w:sz="4" w:space="0"/>
            </w:tcBorders>
            <w:noWrap w:val="0"/>
            <w:vAlign w:val="center"/>
          </w:tcPr>
          <w:p w14:paraId="6C0349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1151894</w:t>
            </w:r>
          </w:p>
        </w:tc>
        <w:tc>
          <w:tcPr>
            <w:tcW w:w="2472" w:type="pct"/>
            <w:gridSpan w:val="7"/>
            <w:noWrap w:val="0"/>
            <w:vAlign w:val="center"/>
          </w:tcPr>
          <w:p w14:paraId="3F2D2659">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i w:val="0"/>
                <w:iCs w:val="0"/>
                <w:color w:val="auto"/>
                <w:kern w:val="2"/>
                <w:sz w:val="15"/>
                <w:szCs w:val="15"/>
                <w:u w:val="none"/>
                <w:lang w:val="en-US" w:eastAsia="zh-CN" w:bidi="ar-SA"/>
              </w:rPr>
            </w:pPr>
            <w:r>
              <w:rPr>
                <w:rFonts w:hint="eastAsia" w:ascii="宋体" w:hAnsi="宋体" w:eastAsia="宋体" w:cs="宋体"/>
                <w:i w:val="0"/>
                <w:iCs w:val="0"/>
                <w:color w:val="auto"/>
                <w:kern w:val="2"/>
                <w:sz w:val="15"/>
                <w:szCs w:val="15"/>
                <w:u w:val="none"/>
                <w:lang w:val="en-US" w:eastAsia="zh-CN" w:bidi="ar-SA"/>
              </w:rPr>
              <w:t>/</w:t>
            </w:r>
          </w:p>
        </w:tc>
      </w:tr>
    </w:tbl>
    <w:p w14:paraId="5C808288">
      <w:pPr>
        <w:keepNext w:val="0"/>
        <w:keepLines w:val="0"/>
        <w:pageBreakBefore w:val="0"/>
        <w:widowControl w:val="0"/>
        <w:kinsoku/>
        <w:wordWrap/>
        <w:overflowPunct/>
        <w:topLinePunct w:val="0"/>
        <w:autoSpaceDE/>
        <w:autoSpaceDN/>
        <w:bidi w:val="0"/>
        <w:adjustRightInd/>
        <w:snapToGrid/>
        <w:spacing w:line="520" w:lineRule="exact"/>
        <w:ind w:firstLine="470" w:firstLineChars="195"/>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color w:val="000000"/>
          <w:sz w:val="24"/>
          <w:szCs w:val="24"/>
        </w:rPr>
        <w:t>注：</w:t>
      </w:r>
      <w:r>
        <w:rPr>
          <w:rFonts w:hint="eastAsia" w:ascii="宋体" w:hAnsi="宋体" w:eastAsia="宋体" w:cs="宋体"/>
          <w:b/>
          <w:color w:val="000000"/>
          <w:sz w:val="24"/>
          <w:szCs w:val="24"/>
          <w:lang w:eastAsia="zh-CN"/>
        </w:rPr>
        <w:t>（一）</w:t>
      </w:r>
      <w:r>
        <w:rPr>
          <w:rFonts w:hint="eastAsia" w:ascii="宋体" w:hAnsi="宋体" w:eastAsia="宋体" w:cs="宋体"/>
          <w:b/>
          <w:bCs w:val="0"/>
          <w:color w:val="000000"/>
          <w:sz w:val="24"/>
          <w:szCs w:val="24"/>
          <w:lang w:val="en-US" w:eastAsia="zh-CN"/>
        </w:rPr>
        <w:t>竞买保证金：人民币100000元</w:t>
      </w:r>
      <w:r>
        <w:rPr>
          <w:rFonts w:hint="eastAsia" w:ascii="宋体" w:hAnsi="宋体" w:eastAsia="宋体" w:cs="宋体"/>
          <w:b/>
          <w:color w:val="000000"/>
          <w:sz w:val="24"/>
          <w:szCs w:val="24"/>
          <w:lang w:val="en-US" w:eastAsia="zh-CN"/>
        </w:rPr>
        <w:t>/标的</w:t>
      </w:r>
      <w:r>
        <w:rPr>
          <w:rFonts w:hint="eastAsia" w:ascii="宋体" w:hAnsi="宋体" w:eastAsia="宋体" w:cs="宋体"/>
          <w:b/>
          <w:bCs w:val="0"/>
          <w:color w:val="000000"/>
          <w:sz w:val="24"/>
          <w:szCs w:val="24"/>
          <w:lang w:val="en-US" w:eastAsia="zh-CN"/>
        </w:rPr>
        <w:t>；权利性质：出让；证载用途：标的</w:t>
      </w:r>
      <w:r>
        <w:rPr>
          <w:rFonts w:hint="eastAsia" w:ascii="宋体" w:hAnsi="宋体" w:eastAsia="宋体" w:cs="宋体"/>
          <w:b/>
          <w:bCs/>
          <w:color w:val="000000"/>
          <w:kern w:val="0"/>
          <w:sz w:val="24"/>
          <w:szCs w:val="24"/>
          <w:lang w:val="en-US" w:eastAsia="zh-CN"/>
        </w:rPr>
        <w:t>1-32为城镇住宅用地/住宅，</w:t>
      </w:r>
      <w:r>
        <w:rPr>
          <w:rFonts w:hint="eastAsia" w:ascii="宋体" w:hAnsi="宋体" w:eastAsia="宋体" w:cs="宋体"/>
          <w:b/>
          <w:bCs w:val="0"/>
          <w:color w:val="000000"/>
          <w:sz w:val="24"/>
          <w:szCs w:val="24"/>
          <w:lang w:val="en-US" w:eastAsia="zh-CN"/>
        </w:rPr>
        <w:t>标的</w:t>
      </w:r>
      <w:r>
        <w:rPr>
          <w:rFonts w:hint="eastAsia" w:ascii="宋体" w:hAnsi="宋体" w:eastAsia="宋体" w:cs="宋体"/>
          <w:b/>
          <w:bCs/>
          <w:color w:val="000000"/>
          <w:kern w:val="0"/>
          <w:sz w:val="24"/>
          <w:szCs w:val="24"/>
          <w:lang w:val="en-US" w:eastAsia="zh-CN"/>
        </w:rPr>
        <w:t>34-38</w:t>
      </w:r>
      <w:r>
        <w:rPr>
          <w:rFonts w:hint="eastAsia" w:ascii="宋体" w:hAnsi="宋体" w:eastAsia="宋体" w:cs="宋体"/>
          <w:b/>
          <w:bCs w:val="0"/>
          <w:color w:val="000000"/>
          <w:sz w:val="24"/>
          <w:szCs w:val="24"/>
          <w:lang w:val="en-US" w:eastAsia="zh-CN"/>
        </w:rPr>
        <w:t>为</w:t>
      </w:r>
      <w:r>
        <w:rPr>
          <w:rFonts w:hint="eastAsia" w:ascii="宋体" w:hAnsi="宋体" w:eastAsia="宋体" w:cs="宋体"/>
          <w:b/>
          <w:bCs/>
          <w:color w:val="000000"/>
          <w:kern w:val="0"/>
          <w:sz w:val="24"/>
          <w:szCs w:val="24"/>
          <w:lang w:val="en-US" w:eastAsia="zh-CN"/>
        </w:rPr>
        <w:t>住宅。</w:t>
      </w:r>
    </w:p>
    <w:p w14:paraId="28D00CB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拍卖标的</w:t>
      </w:r>
      <w:r>
        <w:rPr>
          <w:rFonts w:hint="eastAsia" w:ascii="宋体" w:hAnsi="宋体" w:cs="宋体"/>
          <w:sz w:val="24"/>
          <w:szCs w:val="24"/>
          <w:lang w:eastAsia="zh-CN"/>
        </w:rPr>
        <w:t>均</w:t>
      </w:r>
      <w:r>
        <w:rPr>
          <w:rFonts w:hint="eastAsia" w:ascii="宋体" w:hAnsi="宋体" w:eastAsia="宋体" w:cs="宋体"/>
          <w:sz w:val="24"/>
          <w:szCs w:val="24"/>
          <w:lang w:eastAsia="zh-CN"/>
        </w:rPr>
        <w:t>为一手房</w:t>
      </w:r>
      <w:r>
        <w:rPr>
          <w:rFonts w:hint="eastAsia" w:ascii="宋体" w:hAnsi="宋体" w:eastAsia="宋体" w:cs="宋体"/>
          <w:sz w:val="24"/>
          <w:szCs w:val="24"/>
          <w:lang w:val="en-US" w:eastAsia="zh-CN"/>
        </w:rPr>
        <w:t>。标的成交后，</w:t>
      </w:r>
      <w:r>
        <w:rPr>
          <w:rFonts w:hint="eastAsia"/>
          <w:sz w:val="24"/>
        </w:rPr>
        <w:t>在办理权属登记时所涉及的税费由买卖双方按税务部门规定各自承担。</w:t>
      </w:r>
    </w:p>
    <w:p w14:paraId="5A54E7B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FF"/>
          <w:kern w:val="0"/>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color w:val="auto"/>
          <w:sz w:val="24"/>
          <w:szCs w:val="24"/>
          <w:highlight w:val="none"/>
          <w:lang w:eastAsia="zh-CN"/>
        </w:rPr>
        <w:t>标的物以实物现状为准，委托双方不承担拍卖标的的瑕疵担保责任。竞买人在拍卖前需自行现场踏勘、测算和核实拍卖标的，自行评估并承担相应的风险。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20A351B6">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第五条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lang w:eastAsia="zh-CN"/>
        </w:rPr>
        <w:t>标的</w:t>
      </w:r>
      <w:r>
        <w:rPr>
          <w:rFonts w:hint="eastAsia" w:ascii="宋体" w:hAnsi="宋体" w:eastAsia="宋体" w:cs="宋体"/>
          <w:b/>
          <w:sz w:val="24"/>
          <w:szCs w:val="24"/>
        </w:rPr>
        <w:t>特别说明</w:t>
      </w:r>
    </w:p>
    <w:p w14:paraId="5E67D79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60" w:firstLineChars="150"/>
        <w:jc w:val="left"/>
        <w:textAlignment w:val="auto"/>
        <w:rPr>
          <w:rFonts w:hint="eastAsia"/>
          <w:sz w:val="24"/>
        </w:rPr>
      </w:pPr>
      <w:r>
        <w:rPr>
          <w:rFonts w:hint="eastAsia" w:ascii="宋体" w:hAnsi="宋体"/>
          <w:sz w:val="24"/>
        </w:rPr>
        <w:t>（一）</w:t>
      </w:r>
      <w:r>
        <w:rPr>
          <w:rFonts w:hint="eastAsia"/>
          <w:sz w:val="24"/>
        </w:rPr>
        <w:t>拍卖标的的权证登记手续由买受人为主办理，委托人予以协助，在办理权属登记时所涉及的税费由买卖双方按税务部门规定各自承担。</w:t>
      </w:r>
      <w:r>
        <w:rPr>
          <w:rFonts w:hint="eastAsia" w:ascii="宋体" w:hAnsi="宋体" w:eastAsia="宋体" w:cs="宋体"/>
          <w:sz w:val="24"/>
          <w:szCs w:val="24"/>
        </w:rPr>
        <w:t>延期不办理过户手续（除委托人原因外）所造成的一切后果均由买受人自负，与委托双方无涉。</w:t>
      </w:r>
    </w:p>
    <w:p w14:paraId="0941D000">
      <w:pPr>
        <w:keepNext w:val="0"/>
        <w:keepLines w:val="0"/>
        <w:pageBreakBefore w:val="0"/>
        <w:tabs>
          <w:tab w:val="left" w:pos="1995"/>
        </w:tabs>
        <w:kinsoku/>
        <w:wordWrap/>
        <w:overflowPunct/>
        <w:topLinePunct w:val="0"/>
        <w:autoSpaceDE/>
        <w:autoSpaceDN/>
        <w:bidi w:val="0"/>
        <w:adjustRightInd/>
        <w:spacing w:line="520" w:lineRule="exact"/>
        <w:ind w:firstLine="360" w:firstLineChars="150"/>
        <w:textAlignment w:val="auto"/>
        <w:rPr>
          <w:rFonts w:hint="eastAsia" w:ascii="宋体" w:hAnsi="宋体"/>
          <w:sz w:val="24"/>
        </w:rPr>
      </w:pPr>
      <w:r>
        <w:rPr>
          <w:rFonts w:hint="eastAsia" w:ascii="宋体" w:hAnsi="宋体"/>
          <w:sz w:val="24"/>
        </w:rPr>
        <w:t>（二）本次拍卖标的的</w:t>
      </w:r>
      <w:r>
        <w:rPr>
          <w:rFonts w:hint="eastAsia" w:ascii="宋体" w:hAnsi="宋体"/>
          <w:sz w:val="24"/>
          <w:lang w:eastAsia="zh-CN"/>
        </w:rPr>
        <w:t>建筑面积、</w:t>
      </w:r>
      <w:r>
        <w:rPr>
          <w:rFonts w:hint="eastAsia" w:ascii="宋体" w:hAnsi="宋体"/>
          <w:sz w:val="24"/>
        </w:rPr>
        <w:t>使用面积</w:t>
      </w:r>
      <w:r>
        <w:rPr>
          <w:rFonts w:hint="eastAsia" w:ascii="宋体" w:hAnsi="宋体"/>
          <w:sz w:val="24"/>
          <w:lang w:eastAsia="zh-CN"/>
        </w:rPr>
        <w:t>均</w:t>
      </w:r>
      <w:r>
        <w:rPr>
          <w:rFonts w:hint="eastAsia" w:ascii="宋体" w:hAnsi="宋体"/>
          <w:sz w:val="24"/>
        </w:rPr>
        <w:t>出自不动产登记部门核准的证载面积，拍卖成交后在办理不动产权属登记、过户时，若出现面积或其他证载事项上的差异，不影响本次拍卖成交和成交价格，成交款项也不作退补。</w:t>
      </w:r>
    </w:p>
    <w:p w14:paraId="1584B6AE">
      <w:pPr>
        <w:keepNext w:val="0"/>
        <w:keepLines w:val="0"/>
        <w:pageBreakBefore w:val="0"/>
        <w:tabs>
          <w:tab w:val="left" w:pos="1995"/>
        </w:tabs>
        <w:kinsoku/>
        <w:wordWrap/>
        <w:overflowPunct/>
        <w:topLinePunct w:val="0"/>
        <w:autoSpaceDE/>
        <w:autoSpaceDN/>
        <w:bidi w:val="0"/>
        <w:adjustRightInd/>
        <w:spacing w:line="520" w:lineRule="exact"/>
        <w:ind w:firstLine="360" w:firstLineChars="150"/>
        <w:textAlignment w:val="auto"/>
        <w:rPr>
          <w:rFonts w:hint="eastAsia" w:ascii="宋体" w:hAnsi="宋体" w:eastAsia="宋体"/>
          <w:sz w:val="24"/>
          <w:lang w:eastAsia="zh-CN"/>
        </w:rPr>
      </w:pPr>
      <w:r>
        <w:rPr>
          <w:rFonts w:hint="eastAsia" w:ascii="宋体" w:hAnsi="宋体"/>
          <w:sz w:val="24"/>
          <w:lang w:eastAsia="zh-CN"/>
        </w:rPr>
        <w:t>（三）</w:t>
      </w:r>
      <w:r>
        <w:rPr>
          <w:rFonts w:hint="eastAsia" w:ascii="宋体" w:hAnsi="宋体" w:eastAsia="宋体" w:cs="宋体"/>
          <w:sz w:val="24"/>
          <w:szCs w:val="24"/>
        </w:rPr>
        <w:t>本次拍卖标的因长时间空置，如房屋内有杂物、渗水或墙面剥落、开裂、上下水管道渗漏损毁以及门窗、锁损毁等情形的，所涉相关费用由买受人自行承担，与</w:t>
      </w:r>
      <w:r>
        <w:rPr>
          <w:rFonts w:hint="eastAsia" w:ascii="宋体" w:hAnsi="宋体" w:eastAsia="宋体" w:cs="宋体"/>
          <w:sz w:val="24"/>
          <w:szCs w:val="24"/>
          <w:lang w:eastAsia="zh-CN"/>
        </w:rPr>
        <w:t>委托双方</w:t>
      </w:r>
      <w:r>
        <w:rPr>
          <w:rFonts w:hint="eastAsia" w:ascii="宋体" w:hAnsi="宋体" w:eastAsia="宋体" w:cs="宋体"/>
          <w:sz w:val="24"/>
          <w:szCs w:val="24"/>
        </w:rPr>
        <w:t>无涉。</w:t>
      </w:r>
    </w:p>
    <w:p w14:paraId="31D335C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60" w:firstLineChars="150"/>
        <w:jc w:val="left"/>
        <w:textAlignment w:val="auto"/>
        <w:rPr>
          <w:rFonts w:hint="eastAsia" w:ascii="宋体" w:hAnsi="宋体" w:eastAsia="宋体" w:cs="宋体"/>
          <w:sz w:val="24"/>
          <w:szCs w:val="24"/>
        </w:rPr>
      </w:pPr>
      <w:r>
        <w:rPr>
          <w:rFonts w:hint="eastAsia" w:ascii="宋体" w:hAnsi="宋体"/>
          <w:sz w:val="24"/>
          <w:lang w:eastAsia="zh-CN"/>
        </w:rPr>
        <w:t>（四）标的包含</w:t>
      </w:r>
      <w:r>
        <w:rPr>
          <w:rFonts w:hint="eastAsia" w:ascii="宋体" w:hAnsi="宋体"/>
          <w:sz w:val="24"/>
          <w:lang w:val="en-US" w:eastAsia="zh-CN"/>
        </w:rPr>
        <w:t>的储藏室、车库无水电，</w:t>
      </w:r>
      <w:r>
        <w:rPr>
          <w:rFonts w:hint="eastAsia" w:ascii="宋体" w:hAnsi="宋体" w:eastAsia="宋体" w:cs="宋体"/>
          <w:sz w:val="24"/>
          <w:szCs w:val="24"/>
          <w:lang w:eastAsia="zh-CN"/>
        </w:rPr>
        <w:t>标的</w:t>
      </w:r>
      <w:r>
        <w:rPr>
          <w:rFonts w:hint="eastAsia" w:ascii="宋体" w:hAnsi="宋体" w:eastAsia="宋体" w:cs="宋体"/>
          <w:sz w:val="24"/>
          <w:szCs w:val="24"/>
        </w:rPr>
        <w:t>按现状进行拍卖、交付。</w:t>
      </w:r>
    </w:p>
    <w:p w14:paraId="7F57AAC4">
      <w:pPr>
        <w:keepNext w:val="0"/>
        <w:keepLines w:val="0"/>
        <w:pageBreakBefore w:val="0"/>
        <w:widowControl w:val="0"/>
        <w:kinsoku/>
        <w:wordWrap/>
        <w:overflowPunct/>
        <w:topLinePunct w:val="0"/>
        <w:autoSpaceDE/>
        <w:autoSpaceDN/>
        <w:bidi w:val="0"/>
        <w:adjustRightInd/>
        <w:snapToGrid/>
        <w:spacing w:before="157" w:beforeLines="50" w:after="156" w:afterLines="50" w:line="52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拍卖前期活动</w:t>
      </w:r>
    </w:p>
    <w:p w14:paraId="3DB3B5B4">
      <w:pPr>
        <w:keepNext w:val="0"/>
        <w:keepLines w:val="0"/>
        <w:pageBreakBefore w:val="0"/>
        <w:widowControl w:val="0"/>
        <w:tabs>
          <w:tab w:val="left" w:pos="1995"/>
        </w:tabs>
        <w:kinsoku/>
        <w:wordWrap/>
        <w:overflowPunct/>
        <w:topLinePunct w:val="0"/>
        <w:autoSpaceDE/>
        <w:autoSpaceDN/>
        <w:bidi w:val="0"/>
        <w:adjustRightIn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第六条 </w:t>
      </w:r>
      <w:r>
        <w:rPr>
          <w:rFonts w:hint="eastAsia" w:ascii="宋体" w:hAnsi="宋体" w:eastAsia="宋体" w:cs="宋体"/>
          <w:color w:val="auto"/>
          <w:sz w:val="24"/>
          <w:szCs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09E3CE6E">
      <w:pPr>
        <w:keepNext w:val="0"/>
        <w:keepLines w:val="0"/>
        <w:pageBreakBefore w:val="0"/>
        <w:widowControl w:val="0"/>
        <w:tabs>
          <w:tab w:val="left" w:pos="1995"/>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若拍卖文件需要修正或补充的，拍卖人可以在举行拍卖会之前告知竞买人。如修正或补充内容涉及实质性变化的，须重新计算公告期。竞买人一经参拍或应价的，均视为已接受此修正或补充。</w:t>
      </w:r>
    </w:p>
    <w:p w14:paraId="46C9542C">
      <w:pPr>
        <w:keepNext w:val="0"/>
        <w:keepLines w:val="0"/>
        <w:pageBreakBefore w:val="0"/>
        <w:widowControl w:val="0"/>
        <w:tabs>
          <w:tab w:val="left" w:pos="1995"/>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在拍卖会举行前，如</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决定中止、暂缓或终止委托拍卖的，则竞买人应当无条件</w:t>
      </w: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rPr>
        <w:t>予以接受，交纳的竞买保证金予以退还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按银行同期活期存款利率计息），</w:t>
      </w:r>
      <w:r>
        <w:rPr>
          <w:rFonts w:hint="eastAsia" w:ascii="宋体" w:hAnsi="宋体" w:eastAsia="宋体" w:cs="宋体"/>
          <w:color w:val="auto"/>
          <w:sz w:val="24"/>
          <w:szCs w:val="24"/>
          <w:lang w:eastAsia="zh-CN"/>
        </w:rPr>
        <w:t>委托人</w:t>
      </w:r>
      <w:r>
        <w:rPr>
          <w:rFonts w:hint="eastAsia" w:ascii="宋体" w:hAnsi="宋体" w:eastAsia="宋体" w:cs="宋体"/>
          <w:color w:val="auto"/>
          <w:sz w:val="24"/>
          <w:szCs w:val="24"/>
        </w:rPr>
        <w:t>和拍卖人不承担竞买人的一切损失。</w:t>
      </w:r>
    </w:p>
    <w:p w14:paraId="214503CE">
      <w:pPr>
        <w:keepNext w:val="0"/>
        <w:keepLines w:val="0"/>
        <w:pageBreakBefore w:val="0"/>
        <w:widowControl w:val="0"/>
        <w:numPr>
          <w:ilvl w:val="0"/>
          <w:numId w:val="0"/>
        </w:numPr>
        <w:kinsoku/>
        <w:wordWrap/>
        <w:overflowPunct/>
        <w:topLinePunct w:val="0"/>
        <w:autoSpaceDE/>
        <w:autoSpaceDN/>
        <w:bidi w:val="0"/>
        <w:adjustRightIn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第七条</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竞买人应在报名登记前按时、足额交纳竞买保证金（按银行同期活期存款利率计息）。</w:t>
      </w:r>
    </w:p>
    <w:p w14:paraId="27C3DE51">
      <w:pPr>
        <w:keepNext w:val="0"/>
        <w:keepLines w:val="0"/>
        <w:pageBreakBefore w:val="0"/>
        <w:widowControl w:val="0"/>
        <w:numPr>
          <w:ilvl w:val="0"/>
          <w:numId w:val="0"/>
        </w:numPr>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eastAsia="宋体" w:cs="宋体"/>
          <w:color w:val="auto"/>
          <w:sz w:val="24"/>
          <w:szCs w:val="24"/>
        </w:rPr>
        <w:t>，与拍卖人无涉。</w:t>
      </w:r>
    </w:p>
    <w:p w14:paraId="1F98E674">
      <w:pPr>
        <w:keepNext w:val="0"/>
        <w:keepLines w:val="0"/>
        <w:pageBreakBefore w:val="0"/>
        <w:widowControl w:val="0"/>
        <w:kinsoku/>
        <w:wordWrap/>
        <w:overflowPunct/>
        <w:topLinePunct w:val="0"/>
        <w:autoSpaceDE/>
        <w:autoSpaceDN/>
        <w:bidi w:val="0"/>
        <w:adjustRightInd/>
        <w:snapToGrid/>
        <w:spacing w:before="157" w:beforeLines="50" w:after="156" w:afterLines="50" w:line="520" w:lineRule="exact"/>
        <w:jc w:val="center"/>
        <w:textAlignment w:val="auto"/>
        <w:rPr>
          <w:rFonts w:hint="eastAsia" w:ascii="宋体" w:hAnsi="宋体" w:eastAsia="宋体" w:cs="Times New Roman"/>
          <w:b/>
          <w:sz w:val="28"/>
          <w:szCs w:val="28"/>
        </w:rPr>
      </w:pPr>
      <w:r>
        <w:rPr>
          <w:rFonts w:hint="eastAsia" w:ascii="宋体" w:hAnsi="宋体" w:eastAsia="宋体" w:cs="Times New Roman"/>
          <w:b/>
          <w:sz w:val="28"/>
          <w:szCs w:val="28"/>
        </w:rPr>
        <w:t>拍卖会</w:t>
      </w:r>
    </w:p>
    <w:p w14:paraId="69A73368">
      <w:pPr>
        <w:keepNext w:val="0"/>
        <w:keepLines w:val="0"/>
        <w:pageBreakBefore w:val="0"/>
        <w:numPr>
          <w:ilvl w:val="0"/>
          <w:numId w:val="0"/>
        </w:numPr>
        <w:tabs>
          <w:tab w:val="left" w:pos="1995"/>
        </w:tabs>
        <w:kinsoku/>
        <w:wordWrap/>
        <w:overflowPunct/>
        <w:topLinePunct w:val="0"/>
        <w:autoSpaceDE/>
        <w:autoSpaceDN/>
        <w:bidi w:val="0"/>
        <w:adjustRightInd/>
        <w:snapToGrid/>
        <w:spacing w:line="52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第八条  </w:t>
      </w:r>
      <w:r>
        <w:rPr>
          <w:rFonts w:hint="eastAsia" w:ascii="宋体" w:hAnsi="宋体" w:eastAsia="宋体" w:cs="宋体"/>
          <w:color w:val="auto"/>
          <w:sz w:val="24"/>
          <w:szCs w:val="24"/>
          <w:u w:val="none"/>
          <w:lang w:eastAsia="zh-CN"/>
        </w:rPr>
        <w:t>本次拍卖标的经过规定的报刊、网络发布公告，并经实地展示</w:t>
      </w:r>
      <w:r>
        <w:rPr>
          <w:rFonts w:hint="eastAsia" w:ascii="宋体" w:hAnsi="宋体" w:eastAsia="宋体" w:cs="宋体"/>
          <w:sz w:val="24"/>
          <w:szCs w:val="24"/>
        </w:rPr>
        <w:t>，由拍卖人主持，并在相关当事人和监管部</w:t>
      </w:r>
      <w:r>
        <w:rPr>
          <w:rFonts w:hint="eastAsia" w:ascii="宋体" w:hAnsi="宋体" w:eastAsia="宋体" w:cs="宋体"/>
          <w:sz w:val="24"/>
          <w:szCs w:val="24"/>
          <w:lang w:eastAsia="zh-CN"/>
        </w:rPr>
        <w:t>门的</w:t>
      </w:r>
      <w:r>
        <w:rPr>
          <w:rFonts w:hint="eastAsia" w:ascii="宋体" w:hAnsi="宋体" w:eastAsia="宋体" w:cs="宋体"/>
          <w:sz w:val="24"/>
          <w:szCs w:val="24"/>
        </w:rPr>
        <w:t>监督下进行。</w:t>
      </w:r>
      <w:r>
        <w:rPr>
          <w:rFonts w:hint="eastAsia" w:ascii="宋体" w:hAnsi="宋体" w:eastAsia="宋体" w:cs="宋体"/>
          <w:b/>
          <w:bCs/>
          <w:sz w:val="24"/>
          <w:szCs w:val="24"/>
        </w:rPr>
        <w:t>竞买人凭身份证明及竞买保证金收据登记入场，每一个号牌限进</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人。</w:t>
      </w:r>
      <w:r>
        <w:rPr>
          <w:rFonts w:hint="eastAsia" w:ascii="宋体" w:hAnsi="宋体" w:eastAsia="宋体" w:cs="宋体"/>
          <w:sz w:val="24"/>
          <w:szCs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200B6FE2">
      <w:pPr>
        <w:keepNext w:val="0"/>
        <w:keepLines w:val="0"/>
        <w:pageBreakBefore w:val="0"/>
        <w:numPr>
          <w:ilvl w:val="0"/>
          <w:numId w:val="0"/>
        </w:numPr>
        <w:tabs>
          <w:tab w:val="left" w:pos="1995"/>
        </w:tabs>
        <w:kinsoku/>
        <w:wordWrap/>
        <w:overflowPunct/>
        <w:topLinePunct w:val="0"/>
        <w:autoSpaceDE/>
        <w:autoSpaceDN/>
        <w:bidi w:val="0"/>
        <w:adjustRightInd/>
        <w:snapToGrid/>
        <w:spacing w:line="520" w:lineRule="exact"/>
        <w:ind w:right="-178" w:rightChars="-85"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注：一个委托代理人只能接受一个竞买人的委托，且竞买人之间不得相互委托。</w:t>
      </w:r>
    </w:p>
    <w:p w14:paraId="7EABC992">
      <w:pPr>
        <w:keepNext w:val="0"/>
        <w:keepLines w:val="0"/>
        <w:pageBreakBefore w:val="0"/>
        <w:tabs>
          <w:tab w:val="left" w:pos="1995"/>
        </w:tabs>
        <w:kinsoku/>
        <w:wordWrap/>
        <w:overflowPunct/>
        <w:topLinePunct w:val="0"/>
        <w:autoSpaceDE/>
        <w:autoSpaceDN/>
        <w:bidi w:val="0"/>
        <w:adjustRightInd/>
        <w:snapToGrid/>
        <w:spacing w:line="520" w:lineRule="exact"/>
        <w:ind w:left="0" w:leftChars="0"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 xml:space="preserve"> 竞买人一旦进入了拍卖会场，即表明已完全了解拍卖标的的一切现状，接受拍卖标的已知和未知的瑕疵、缺陷，对自己参加竞买的行为及其后对拍卖标的的权利行使期间之各种风险、状态，自行承担法律责任。</w:t>
      </w:r>
    </w:p>
    <w:p w14:paraId="168904D5">
      <w:pPr>
        <w:keepNext w:val="0"/>
        <w:keepLines w:val="0"/>
        <w:pageBreakBefore w:val="0"/>
        <w:tabs>
          <w:tab w:val="left" w:pos="1995"/>
        </w:tabs>
        <w:kinsoku/>
        <w:wordWrap/>
        <w:overflowPunct/>
        <w:topLinePunct w:val="0"/>
        <w:autoSpaceDE/>
        <w:autoSpaceDN/>
        <w:bidi w:val="0"/>
        <w:adjustRightInd/>
        <w:snapToGrid/>
        <w:spacing w:line="520" w:lineRule="exact"/>
        <w:ind w:right="0" w:righ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本次拍卖采用“现场</w:t>
      </w:r>
      <w:r>
        <w:rPr>
          <w:rFonts w:hint="eastAsia" w:ascii="宋体" w:hAnsi="宋体" w:eastAsia="宋体" w:cs="宋体"/>
          <w:b/>
          <w:bCs/>
          <w:sz w:val="24"/>
          <w:szCs w:val="24"/>
          <w:lang w:eastAsia="zh-CN"/>
        </w:rPr>
        <w:t>拍卖</w:t>
      </w:r>
      <w:r>
        <w:rPr>
          <w:rFonts w:hint="eastAsia" w:ascii="宋体" w:hAnsi="宋体" w:eastAsia="宋体" w:cs="宋体"/>
          <w:b/>
          <w:bCs/>
          <w:sz w:val="24"/>
          <w:szCs w:val="24"/>
        </w:rPr>
        <w:t>”的方式，价高者得的原则。</w:t>
      </w:r>
    </w:p>
    <w:p w14:paraId="5C71CFE5">
      <w:pPr>
        <w:keepNext w:val="0"/>
        <w:keepLines w:val="0"/>
        <w:pageBreakBefore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382812CE">
      <w:pPr>
        <w:keepNext w:val="0"/>
        <w:keepLines w:val="0"/>
        <w:pageBreakBefore w:val="0"/>
        <w:tabs>
          <w:tab w:val="left" w:pos="1995"/>
        </w:tabs>
        <w:kinsoku/>
        <w:wordWrap/>
        <w:overflowPunct/>
        <w:topLinePunct w:val="0"/>
        <w:autoSpaceDE/>
        <w:autoSpaceDN/>
        <w:bidi w:val="0"/>
        <w:adjustRightInd/>
        <w:snapToGrid/>
        <w:spacing w:line="520" w:lineRule="exact"/>
        <w:ind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本次拍卖会举牌须知如下：</w:t>
      </w:r>
    </w:p>
    <w:p w14:paraId="14E2FF37">
      <w:pPr>
        <w:keepNext w:val="0"/>
        <w:keepLines w:val="0"/>
        <w:pageBreakBefore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eastAsia="宋体" w:cs="宋体"/>
          <w:strike/>
          <w:dstrike w:val="0"/>
          <w:sz w:val="24"/>
          <w:szCs w:val="24"/>
        </w:rPr>
      </w:pPr>
      <w:r>
        <w:rPr>
          <w:rFonts w:hint="eastAsia" w:ascii="宋体" w:hAnsi="宋体" w:eastAsia="宋体" w:cs="宋体"/>
          <w:sz w:val="24"/>
          <w:szCs w:val="24"/>
        </w:rPr>
        <w:t>本次拍卖标的设有保留价，不达到保留价不成交。保留价即为起拍价</w:t>
      </w:r>
      <w:r>
        <w:rPr>
          <w:rFonts w:hint="eastAsia" w:ascii="宋体" w:hAnsi="宋体" w:eastAsia="宋体" w:cs="宋体"/>
          <w:sz w:val="24"/>
          <w:szCs w:val="24"/>
          <w:lang w:eastAsia="zh-CN"/>
        </w:rPr>
        <w:t>，</w:t>
      </w:r>
      <w:r>
        <w:rPr>
          <w:rFonts w:hint="eastAsia" w:ascii="宋体" w:hAnsi="宋体" w:eastAsia="宋体" w:cs="宋体"/>
          <w:sz w:val="24"/>
          <w:szCs w:val="24"/>
        </w:rPr>
        <w:t>对外公开。</w:t>
      </w:r>
    </w:p>
    <w:p w14:paraId="310DF157">
      <w:pPr>
        <w:keepNext w:val="0"/>
        <w:keepLines w:val="0"/>
        <w:pageBreakBefore w:val="0"/>
        <w:tabs>
          <w:tab w:val="left" w:pos="1995"/>
        </w:tabs>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拍卖时，先由拍卖师宣布起拍价，然后报出加价幅度。竞买人可举牌应价或按规定的加价幅度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7195B189">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482" w:firstLineChars="200"/>
        <w:jc w:val="left"/>
        <w:textAlignment w:val="auto"/>
        <w:rPr>
          <w:rFonts w:hint="eastAsia" w:ascii="宋体" w:hAnsi="宋体" w:eastAsia="宋体" w:cs="宋体"/>
          <w:color w:val="auto"/>
          <w:sz w:val="24"/>
          <w:szCs w:val="24"/>
          <w:u w:val="none"/>
          <w:lang w:eastAsia="zh-CN"/>
        </w:rPr>
      </w:pPr>
      <w:r>
        <w:rPr>
          <w:rFonts w:hint="eastAsia" w:ascii="宋体" w:hAnsi="宋体" w:eastAsia="宋体" w:cs="宋体"/>
          <w:b/>
          <w:bCs/>
          <w:color w:val="auto"/>
          <w:sz w:val="24"/>
          <w:szCs w:val="24"/>
          <w:u w:val="none"/>
          <w:lang w:eastAsia="zh-CN"/>
        </w:rPr>
        <w:t>第十二条</w:t>
      </w: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sz w:val="24"/>
          <w:szCs w:val="24"/>
        </w:rPr>
        <w:t>买受人是指以最高有效应价竞得拍卖标的竞买人。拍卖成交后，买受人须与拍卖人当场签署《拍卖成交确认书》并在《拍卖笔录》上签名或盖章。上述文件不论买受人是否签署，其全部条款即对买受人产生约束力并生效。</w:t>
      </w:r>
    </w:p>
    <w:p w14:paraId="088ECFE1">
      <w:pPr>
        <w:keepNext w:val="0"/>
        <w:keepLines w:val="0"/>
        <w:pageBreakBefore w:val="0"/>
        <w:widowControl w:val="0"/>
        <w:kinsoku/>
        <w:wordWrap/>
        <w:overflowPunct/>
        <w:topLinePunct w:val="0"/>
        <w:autoSpaceDE/>
        <w:autoSpaceDN/>
        <w:bidi w:val="0"/>
        <w:adjustRightInd/>
        <w:snapToGrid/>
        <w:spacing w:before="157" w:beforeLines="50" w:after="156" w:afterLines="50" w:line="5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Times New Roman"/>
          <w:b/>
          <w:sz w:val="28"/>
          <w:szCs w:val="28"/>
          <w:lang w:eastAsia="zh-CN"/>
        </w:rPr>
        <w:t>拍卖后期工作</w:t>
      </w:r>
    </w:p>
    <w:p w14:paraId="5EAB51FD">
      <w:pPr>
        <w:keepNext w:val="0"/>
        <w:keepLines w:val="0"/>
        <w:pageBreakBefore w:val="0"/>
        <w:numPr>
          <w:ilvl w:val="0"/>
          <w:numId w:val="0"/>
        </w:numPr>
        <w:tabs>
          <w:tab w:val="left" w:pos="1995"/>
        </w:tabs>
        <w:kinsoku/>
        <w:wordWrap/>
        <w:overflowPunct/>
        <w:topLinePunct w:val="0"/>
        <w:autoSpaceDE/>
        <w:autoSpaceDN/>
        <w:bidi w:val="0"/>
        <w:adjustRightInd/>
        <w:snapToGrid/>
        <w:spacing w:line="520" w:lineRule="exact"/>
        <w:ind w:right="-178" w:rightChars="-85"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u w:val="none"/>
          <w:lang w:val="en-US" w:eastAsia="zh-CN"/>
        </w:rPr>
        <w:t xml:space="preserve">第十三条  </w:t>
      </w:r>
      <w:r>
        <w:rPr>
          <w:rFonts w:hint="eastAsia" w:ascii="宋体" w:hAnsi="宋体" w:eastAsia="宋体" w:cs="宋体"/>
          <w:sz w:val="24"/>
          <w:szCs w:val="24"/>
        </w:rPr>
        <w:t>拍卖会结束后，由拍卖人当场向买受人发放《拍卖成交确认书》。</w:t>
      </w:r>
    </w:p>
    <w:p w14:paraId="296DC8B4">
      <w:pPr>
        <w:keepNext w:val="0"/>
        <w:keepLines w:val="0"/>
        <w:pageBreakBefore w:val="0"/>
        <w:numPr>
          <w:ilvl w:val="0"/>
          <w:numId w:val="0"/>
        </w:numPr>
        <w:tabs>
          <w:tab w:val="left" w:pos="1995"/>
        </w:tabs>
        <w:kinsoku/>
        <w:wordWrap/>
        <w:overflowPunct/>
        <w:topLinePunct w:val="0"/>
        <w:autoSpaceDE/>
        <w:autoSpaceDN/>
        <w:bidi w:val="0"/>
        <w:adjustRightInd/>
        <w:snapToGrid/>
        <w:spacing w:line="520" w:lineRule="exact"/>
        <w:ind w:right="-178" w:rightChars="-85"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eastAsia="zh-CN"/>
        </w:rPr>
        <w:t>未竞得拍卖标的的竞买人，在拍卖会结束后的3个工作日内，由拍卖人凭竞买人报名时登记的户名及账号退还竞买保证金（按银行同期活期存款利率计息）；买受人的竞买保证金冲抵拍卖成交款及买受佣金。</w:t>
      </w:r>
      <w:r>
        <w:rPr>
          <w:rFonts w:hint="eastAsia" w:ascii="宋体" w:hAnsi="宋体" w:eastAsia="宋体" w:cs="宋体"/>
          <w:color w:val="auto"/>
          <w:sz w:val="24"/>
          <w:szCs w:val="24"/>
          <w:u w:val="none"/>
          <w:lang w:val="en-US" w:eastAsia="zh-CN"/>
        </w:rPr>
        <w:t xml:space="preserve">  </w:t>
      </w:r>
    </w:p>
    <w:p w14:paraId="5D6D01E0">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u w:val="none"/>
          <w:lang w:eastAsia="zh-CN"/>
        </w:rPr>
        <w:t>如未收到竞买保证金的，请及时与拍卖人联系（0574-62727901）。</w:t>
      </w:r>
    </w:p>
    <w:p w14:paraId="28C1A8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0000FF"/>
          <w:sz w:val="24"/>
          <w:szCs w:val="24"/>
          <w:lang w:eastAsia="zh-CN"/>
        </w:rPr>
      </w:pPr>
      <w:r>
        <w:rPr>
          <w:rFonts w:hint="eastAsia" w:ascii="宋体" w:hAnsi="宋体" w:eastAsia="宋体" w:cs="宋体"/>
          <w:b/>
          <w:color w:val="000000"/>
          <w:kern w:val="0"/>
          <w:sz w:val="24"/>
          <w:szCs w:val="24"/>
          <w:lang w:eastAsia="zh-CN"/>
        </w:rPr>
        <w:t>第十四条</w:t>
      </w: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color w:val="000000"/>
          <w:kern w:val="0"/>
          <w:sz w:val="24"/>
          <w:szCs w:val="24"/>
        </w:rPr>
        <w:t>付款办法及签约时间</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 xml:space="preserve"> </w:t>
      </w:r>
      <w:r>
        <w:rPr>
          <w:rFonts w:hint="eastAsia" w:ascii="宋体" w:hAnsi="宋体" w:eastAsia="宋体" w:cs="宋体"/>
          <w:b w:val="0"/>
          <w:bCs/>
          <w:color w:val="000000"/>
          <w:kern w:val="0"/>
          <w:sz w:val="24"/>
          <w:szCs w:val="24"/>
        </w:rPr>
        <w:t>买受人</w:t>
      </w:r>
      <w:r>
        <w:rPr>
          <w:rFonts w:hint="eastAsia" w:ascii="宋体" w:hAnsi="宋体" w:eastAsia="宋体" w:cs="宋体"/>
          <w:bCs/>
          <w:color w:val="000000"/>
          <w:kern w:val="0"/>
          <w:sz w:val="24"/>
          <w:szCs w:val="24"/>
        </w:rPr>
        <w:t>须在</w:t>
      </w:r>
      <w:r>
        <w:rPr>
          <w:rFonts w:hint="eastAsia" w:ascii="宋体" w:hAnsi="宋体" w:eastAsia="宋体" w:cs="宋体"/>
          <w:b w:val="0"/>
          <w:bCs/>
          <w:color w:val="000000"/>
          <w:kern w:val="0"/>
          <w:sz w:val="24"/>
          <w:szCs w:val="24"/>
        </w:rPr>
        <w:t>202</w:t>
      </w:r>
      <w:r>
        <w:rPr>
          <w:rFonts w:hint="eastAsia" w:ascii="宋体" w:hAnsi="宋体" w:eastAsia="宋体" w:cs="宋体"/>
          <w:b w:val="0"/>
          <w:bCs/>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12日</w:t>
      </w:r>
      <w:r>
        <w:rPr>
          <w:rFonts w:hint="eastAsia" w:ascii="宋体" w:hAnsi="宋体" w:eastAsia="宋体" w:cs="宋体"/>
          <w:color w:val="000000"/>
          <w:kern w:val="0"/>
          <w:sz w:val="24"/>
          <w:szCs w:val="24"/>
        </w:rPr>
        <w:t>下午</w:t>
      </w:r>
      <w:r>
        <w:rPr>
          <w:rFonts w:hint="eastAsia" w:ascii="宋体" w:hAnsi="宋体" w:eastAsia="宋体" w:cs="宋体"/>
          <w:color w:val="000000"/>
          <w:kern w:val="0"/>
          <w:sz w:val="24"/>
          <w:szCs w:val="24"/>
          <w:lang w:val="en-US" w:eastAsia="zh-CN"/>
        </w:rPr>
        <w:t>4:00</w:t>
      </w:r>
      <w:r>
        <w:rPr>
          <w:rFonts w:hint="eastAsia" w:ascii="宋体" w:hAnsi="宋体" w:eastAsia="宋体" w:cs="宋体"/>
          <w:color w:val="000000"/>
          <w:kern w:val="0"/>
          <w:sz w:val="24"/>
          <w:szCs w:val="24"/>
        </w:rPr>
        <w:t>前（</w:t>
      </w:r>
      <w:r>
        <w:rPr>
          <w:rFonts w:hint="eastAsia" w:ascii="宋体" w:hAnsi="宋体" w:eastAsia="宋体" w:cs="宋体"/>
          <w:b/>
          <w:bCs/>
          <w:color w:val="000000"/>
          <w:kern w:val="0"/>
          <w:sz w:val="24"/>
          <w:szCs w:val="24"/>
        </w:rPr>
        <w:t>以实际到账为准）</w:t>
      </w:r>
      <w:r>
        <w:rPr>
          <w:rFonts w:hint="eastAsia" w:ascii="宋体" w:hAnsi="宋体" w:eastAsia="宋体" w:cs="宋体"/>
          <w:color w:val="000000"/>
          <w:kern w:val="0"/>
          <w:sz w:val="24"/>
          <w:szCs w:val="24"/>
        </w:rPr>
        <w:t>向</w:t>
      </w:r>
      <w:r>
        <w:rPr>
          <w:rFonts w:hint="eastAsia" w:ascii="宋体" w:hAnsi="宋体" w:eastAsia="宋体" w:cs="宋体"/>
          <w:color w:val="000000"/>
          <w:kern w:val="0"/>
          <w:sz w:val="24"/>
          <w:szCs w:val="24"/>
          <w:lang w:eastAsia="zh-CN"/>
        </w:rPr>
        <w:t>拍卖人</w:t>
      </w:r>
      <w:r>
        <w:rPr>
          <w:rFonts w:hint="eastAsia" w:ascii="宋体" w:hAnsi="宋体" w:eastAsia="宋体" w:cs="宋体"/>
          <w:color w:val="000000"/>
          <w:kern w:val="0"/>
          <w:sz w:val="24"/>
          <w:szCs w:val="24"/>
        </w:rPr>
        <w:t>一次性付清</w:t>
      </w:r>
      <w:r>
        <w:rPr>
          <w:rFonts w:hint="eastAsia" w:ascii="宋体" w:hAnsi="宋体" w:eastAsia="宋体" w:cs="宋体"/>
          <w:color w:val="000000"/>
          <w:kern w:val="0"/>
          <w:sz w:val="24"/>
          <w:szCs w:val="24"/>
          <w:lang w:eastAsia="zh-CN"/>
        </w:rPr>
        <w:t>拍卖成交款和拍卖成交价</w:t>
      </w:r>
      <w:r>
        <w:rPr>
          <w:rFonts w:hint="eastAsia" w:ascii="宋体" w:hAnsi="宋体" w:eastAsia="宋体" w:cs="宋体"/>
          <w:color w:val="000000"/>
          <w:kern w:val="0"/>
          <w:sz w:val="24"/>
          <w:szCs w:val="24"/>
          <w:lang w:val="en-US" w:eastAsia="zh-CN"/>
        </w:rPr>
        <w:t>1%的买受佣金</w:t>
      </w:r>
      <w:r>
        <w:rPr>
          <w:rFonts w:hint="eastAsia" w:ascii="宋体" w:hAnsi="宋体" w:eastAsia="宋体" w:cs="宋体"/>
          <w:color w:val="000000"/>
          <w:sz w:val="24"/>
          <w:szCs w:val="24"/>
        </w:rPr>
        <w:t>，</w:t>
      </w:r>
      <w:r>
        <w:rPr>
          <w:rFonts w:hint="eastAsia" w:ascii="宋体" w:hAnsi="宋体" w:eastAsia="宋体" w:cs="宋体"/>
          <w:color w:val="auto"/>
          <w:sz w:val="24"/>
          <w:szCs w:val="24"/>
          <w:lang w:eastAsia="zh-CN"/>
        </w:rPr>
        <w:t>并于</w:t>
      </w:r>
      <w:r>
        <w:rPr>
          <w:rFonts w:hint="eastAsia" w:ascii="宋体" w:hAnsi="宋体" w:eastAsia="宋体" w:cs="宋体"/>
          <w:b w:val="0"/>
          <w:bCs/>
          <w:color w:val="auto"/>
          <w:kern w:val="0"/>
          <w:sz w:val="24"/>
          <w:szCs w:val="24"/>
        </w:rPr>
        <w:t>202</w:t>
      </w:r>
      <w:r>
        <w:rPr>
          <w:rFonts w:hint="eastAsia" w:ascii="宋体" w:hAnsi="宋体" w:eastAsia="宋体" w:cs="宋体"/>
          <w:b w:val="0"/>
          <w:bCs/>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eastAsia="zh-CN"/>
        </w:rPr>
        <w:t>日（上午9:00—11:00，下午2: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0，节假日除外）到拍卖人处领取票据并办理</w:t>
      </w:r>
      <w:r>
        <w:rPr>
          <w:rFonts w:hint="eastAsia" w:ascii="宋体" w:hAnsi="宋体"/>
          <w:color w:val="auto"/>
          <w:sz w:val="24"/>
          <w:lang w:eastAsia="zh-CN"/>
        </w:rPr>
        <w:t>《房屋买卖合同》</w:t>
      </w:r>
      <w:r>
        <w:rPr>
          <w:rFonts w:hint="eastAsia" w:ascii="宋体" w:hAnsi="宋体" w:eastAsia="宋体" w:cs="宋体"/>
          <w:color w:val="auto"/>
          <w:sz w:val="24"/>
          <w:szCs w:val="24"/>
          <w:lang w:eastAsia="zh-CN"/>
        </w:rPr>
        <w:t>网签手续。买受人凭拍卖人出具的相关证明材料与身份证明原件于</w:t>
      </w:r>
      <w:r>
        <w:rPr>
          <w:rFonts w:hint="eastAsia" w:ascii="宋体" w:hAnsi="宋体" w:eastAsia="宋体" w:cs="宋体"/>
          <w:b w:val="0"/>
          <w:bCs/>
          <w:color w:val="auto"/>
          <w:kern w:val="0"/>
          <w:sz w:val="24"/>
          <w:szCs w:val="24"/>
        </w:rPr>
        <w:t>202</w:t>
      </w:r>
      <w:r>
        <w:rPr>
          <w:rFonts w:hint="eastAsia" w:ascii="宋体" w:hAnsi="宋体" w:eastAsia="宋体" w:cs="宋体"/>
          <w:b w:val="0"/>
          <w:bCs/>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6月18</w:t>
      </w:r>
      <w:r>
        <w:rPr>
          <w:rFonts w:hint="eastAsia" w:ascii="宋体" w:hAnsi="宋体" w:eastAsia="宋体" w:cs="宋体"/>
          <w:color w:val="auto"/>
          <w:kern w:val="0"/>
          <w:sz w:val="24"/>
          <w:szCs w:val="24"/>
        </w:rPr>
        <w:t>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lang w:eastAsia="zh-CN"/>
        </w:rPr>
        <w:t>日（上午9:00—11:00，下午2: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0，节假日除外）到委托人处办理相关手续。</w:t>
      </w:r>
    </w:p>
    <w:p w14:paraId="12F441A2">
      <w:pPr>
        <w:keepNext w:val="0"/>
        <w:keepLines w:val="0"/>
        <w:pageBreakBefore w:val="0"/>
        <w:widowControl w:val="0"/>
        <w:kinsoku/>
        <w:wordWrap/>
        <w:overflowPunct/>
        <w:topLinePunct w:val="0"/>
        <w:autoSpaceDE/>
        <w:autoSpaceDN/>
        <w:bidi w:val="0"/>
        <w:adjustRightInd/>
        <w:snapToGrid/>
        <w:spacing w:line="520" w:lineRule="exact"/>
        <w:ind w:left="0" w:leftChars="0" w:firstLine="439" w:firstLineChars="182"/>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eastAsia="zh-CN"/>
        </w:rPr>
        <w:t>上述款项</w:t>
      </w:r>
      <w:r>
        <w:rPr>
          <w:rFonts w:hint="eastAsia" w:ascii="宋体" w:hAnsi="宋体" w:eastAsia="宋体" w:cs="宋体"/>
          <w:b/>
          <w:bCs/>
          <w:color w:val="000000"/>
          <w:sz w:val="24"/>
          <w:szCs w:val="24"/>
        </w:rPr>
        <w:t>请汇入拍卖人账户</w:t>
      </w:r>
      <w:r>
        <w:rPr>
          <w:rFonts w:hint="eastAsia" w:ascii="宋体" w:hAnsi="宋体" w:eastAsia="宋体" w:cs="宋体"/>
          <w:color w:val="000000"/>
          <w:sz w:val="24"/>
          <w:szCs w:val="24"/>
        </w:rPr>
        <w:t>（户名：宁波阳明拍卖有限公司，开户行：中信银行余姚支行，账号：8114701084445008888）。</w:t>
      </w:r>
    </w:p>
    <w:p w14:paraId="6466878A">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拍卖人出具买受佣金发票和拍卖成交款收据，其他相关票据由委托人提供。</w:t>
      </w:r>
    </w:p>
    <w:p w14:paraId="03CDF7EB">
      <w:pPr>
        <w:keepNext w:val="0"/>
        <w:keepLines w:val="0"/>
        <w:pageBreakBefore w:val="0"/>
        <w:widowControl w:val="0"/>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b/>
          <w:color w:val="FF0000"/>
          <w:sz w:val="24"/>
          <w:szCs w:val="24"/>
        </w:rPr>
      </w:pPr>
      <w:r>
        <w:rPr>
          <w:rFonts w:hint="eastAsia" w:ascii="宋体" w:hAnsi="宋体" w:eastAsia="宋体" w:cs="宋体"/>
          <w:b/>
          <w:bCs/>
          <w:color w:val="000000"/>
          <w:sz w:val="24"/>
          <w:szCs w:val="24"/>
          <w:lang w:eastAsia="zh-CN"/>
        </w:rPr>
        <w:t>第十五条</w:t>
      </w:r>
      <w:r>
        <w:rPr>
          <w:rFonts w:hint="eastAsia" w:ascii="宋体" w:hAnsi="宋体" w:eastAsia="宋体" w:cs="宋体"/>
          <w:b/>
          <w:bCs/>
          <w:color w:val="000000"/>
          <w:sz w:val="24"/>
          <w:szCs w:val="24"/>
          <w:lang w:val="en-US" w:eastAsia="zh-CN"/>
        </w:rPr>
        <w:t xml:space="preserve"> 违约责任：</w:t>
      </w:r>
      <w:r>
        <w:rPr>
          <w:rFonts w:hint="eastAsia" w:ascii="宋体" w:hAnsi="宋体" w:eastAsia="宋体" w:cs="宋体"/>
          <w:b/>
          <w:color w:val="000000"/>
          <w:sz w:val="24"/>
          <w:szCs w:val="24"/>
        </w:rPr>
        <w:t>因买受人存在未按约定签订《拍卖成交确认书》等拍卖文件或《</w:t>
      </w:r>
      <w:r>
        <w:rPr>
          <w:rFonts w:hint="eastAsia" w:ascii="宋体" w:hAnsi="宋体" w:eastAsia="宋体" w:cs="宋体"/>
          <w:b/>
          <w:color w:val="000000"/>
          <w:sz w:val="24"/>
          <w:szCs w:val="24"/>
          <w:lang w:eastAsia="zh-CN"/>
        </w:rPr>
        <w:t>房屋买卖</w:t>
      </w:r>
      <w:r>
        <w:rPr>
          <w:rFonts w:hint="eastAsia" w:ascii="宋体" w:hAnsi="宋体" w:eastAsia="宋体" w:cs="宋体"/>
          <w:b/>
          <w:color w:val="000000"/>
          <w:sz w:val="24"/>
          <w:szCs w:val="24"/>
        </w:rPr>
        <w:t>合同》</w:t>
      </w:r>
      <w:r>
        <w:rPr>
          <w:rFonts w:hint="eastAsia" w:ascii="宋体" w:hAnsi="宋体" w:eastAsia="宋体" w:cs="宋体"/>
          <w:b/>
          <w:color w:val="000000"/>
          <w:sz w:val="24"/>
          <w:szCs w:val="24"/>
          <w:lang w:eastAsia="zh-CN"/>
        </w:rPr>
        <w:t>或</w:t>
      </w:r>
      <w:r>
        <w:rPr>
          <w:rFonts w:hint="eastAsia" w:ascii="宋体" w:hAnsi="宋体" w:eastAsia="宋体" w:cs="宋体"/>
          <w:b/>
          <w:color w:val="000000"/>
          <w:sz w:val="24"/>
          <w:szCs w:val="24"/>
        </w:rPr>
        <w:t>未能按期足额支付本须知约定的所有款项等行为的，均视为买受人自动放弃成交</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，属违约：拍卖人有权取消其买受人资格，撤销《拍卖成交确认书》，竞买保证金自动转为违约金，将不予退还，并取消该</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再次拍卖时的该买受人的竞买资格，且委托人有权按《拍卖法》第三十九条规定，追究违约责任。</w:t>
      </w:r>
    </w:p>
    <w:p w14:paraId="28F70972">
      <w:pPr>
        <w:keepNext w:val="0"/>
        <w:keepLines w:val="0"/>
        <w:pageBreakBefore w:val="0"/>
        <w:widowControl w:val="0"/>
        <w:tabs>
          <w:tab w:val="left" w:pos="1995"/>
        </w:tabs>
        <w:kinsoku/>
        <w:wordWrap/>
        <w:overflowPunct/>
        <w:topLinePunct w:val="0"/>
        <w:autoSpaceDE/>
        <w:autoSpaceDN/>
        <w:bidi w:val="0"/>
        <w:adjustRightInd/>
        <w:snapToGrid/>
        <w:spacing w:line="520" w:lineRule="exact"/>
        <w:ind w:right="0" w:righ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《拍卖法》第三十九条：买受人应当按照约定支付拍卖标的的价款，未按照约定支付价款的，应当承担违约责任，或者由拍卖人征得委托人的同意，将拍卖标的再行拍卖。</w:t>
      </w:r>
    </w:p>
    <w:p w14:paraId="14BBABBD">
      <w:pPr>
        <w:keepNext w:val="0"/>
        <w:keepLines w:val="0"/>
        <w:pageBreakBefore w:val="0"/>
        <w:widowControl w:val="0"/>
        <w:tabs>
          <w:tab w:val="left" w:pos="1995"/>
        </w:tabs>
        <w:kinsoku/>
        <w:wordWrap/>
        <w:overflowPunct/>
        <w:topLinePunct w:val="0"/>
        <w:autoSpaceDE/>
        <w:autoSpaceDN/>
        <w:bidi w:val="0"/>
        <w:adjustRightInd/>
        <w:snapToGrid/>
        <w:spacing w:line="520" w:lineRule="exact"/>
        <w:ind w:left="0" w:leftChars="0" w:right="0" w:rightChars="0" w:firstLine="180" w:firstLineChars="7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拍卖标的再行拍卖的，原买受人应当支付第一次拍卖中本人及委托人应当支付的佣金。再行拍卖的价款低于原拍卖价款的，原买受人应当补足差额。</w:t>
      </w:r>
    </w:p>
    <w:p w14:paraId="127B73B9">
      <w:pPr>
        <w:keepNext w:val="0"/>
        <w:keepLines w:val="0"/>
        <w:pageBreakBefore w:val="0"/>
        <w:widowControl w:val="0"/>
        <w:kinsoku/>
        <w:wordWrap/>
        <w:overflowPunct/>
        <w:topLinePunct w:val="0"/>
        <w:autoSpaceDE/>
        <w:autoSpaceDN/>
        <w:bidi w:val="0"/>
        <w:adjustRightInd/>
        <w:snapToGrid/>
        <w:spacing w:line="520" w:lineRule="exact"/>
        <w:ind w:firstLine="475" w:firstLineChars="197"/>
        <w:textAlignment w:val="auto"/>
        <w:rPr>
          <w:rFonts w:hint="eastAsia" w:ascii="宋体" w:hAnsi="宋体" w:eastAsia="宋体" w:cs="宋体"/>
          <w:bCs/>
          <w:color w:val="FF000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 xml:space="preserve">条  </w:t>
      </w:r>
      <w:r>
        <w:rPr>
          <w:rFonts w:hint="eastAsia" w:ascii="宋体" w:hAnsi="宋体" w:eastAsia="宋体" w:cs="宋体"/>
          <w:b/>
          <w:color w:val="000000"/>
          <w:sz w:val="24"/>
          <w:szCs w:val="24"/>
          <w:lang w:eastAsia="zh-CN"/>
        </w:rPr>
        <w:t>标的</w:t>
      </w:r>
      <w:r>
        <w:rPr>
          <w:rFonts w:hint="eastAsia" w:ascii="宋体" w:hAnsi="宋体" w:eastAsia="宋体" w:cs="宋体"/>
          <w:b/>
          <w:color w:val="000000"/>
          <w:sz w:val="24"/>
          <w:szCs w:val="24"/>
        </w:rPr>
        <w:t>交付：</w:t>
      </w:r>
      <w:r>
        <w:rPr>
          <w:rFonts w:hint="eastAsia" w:ascii="宋体" w:hAnsi="宋体" w:eastAsia="宋体" w:cs="宋体"/>
          <w:color w:val="000000"/>
          <w:sz w:val="24"/>
          <w:szCs w:val="24"/>
        </w:rPr>
        <w:t>由</w:t>
      </w:r>
      <w:r>
        <w:rPr>
          <w:rFonts w:hint="eastAsia" w:ascii="宋体" w:hAnsi="宋体" w:eastAsia="宋体" w:cs="宋体"/>
          <w:color w:val="000000"/>
          <w:sz w:val="24"/>
          <w:szCs w:val="24"/>
          <w:lang w:eastAsia="zh-CN"/>
        </w:rPr>
        <w:t>标的</w:t>
      </w:r>
      <w:r>
        <w:rPr>
          <w:rFonts w:hint="eastAsia" w:ascii="宋体" w:hAnsi="宋体" w:eastAsia="宋体" w:cs="宋体"/>
          <w:color w:val="000000"/>
          <w:sz w:val="24"/>
          <w:szCs w:val="24"/>
        </w:rPr>
        <w:t>所在地的物业公司凭委托人出具的相关证明将现状标的交付</w:t>
      </w:r>
      <w:r>
        <w:rPr>
          <w:rFonts w:hint="eastAsia" w:ascii="宋体" w:hAnsi="宋体" w:eastAsia="宋体" w:cs="宋体"/>
          <w:color w:val="000000"/>
          <w:sz w:val="24"/>
          <w:szCs w:val="24"/>
          <w:lang w:eastAsia="zh-CN"/>
        </w:rPr>
        <w:t>于</w:t>
      </w:r>
      <w:r>
        <w:rPr>
          <w:rFonts w:hint="eastAsia" w:ascii="宋体" w:hAnsi="宋体" w:eastAsia="宋体" w:cs="宋体"/>
          <w:color w:val="000000"/>
          <w:sz w:val="24"/>
          <w:szCs w:val="24"/>
        </w:rPr>
        <w:t>买受人。</w:t>
      </w:r>
    </w:p>
    <w:p w14:paraId="0D4BE57C">
      <w:pPr>
        <w:keepNext w:val="0"/>
        <w:keepLines w:val="0"/>
        <w:pageBreakBefore w:val="0"/>
        <w:widowControl w:val="0"/>
        <w:kinsoku/>
        <w:wordWrap/>
        <w:overflowPunct/>
        <w:topLinePunct w:val="0"/>
        <w:autoSpaceDE/>
        <w:autoSpaceDN/>
        <w:bidi w:val="0"/>
        <w:adjustRightInd/>
        <w:snapToGrid/>
        <w:spacing w:line="520" w:lineRule="exact"/>
        <w:ind w:firstLine="475" w:firstLineChars="197"/>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第十</w:t>
      </w:r>
      <w:r>
        <w:rPr>
          <w:rFonts w:hint="eastAsia" w:ascii="宋体" w:hAnsi="宋体" w:eastAsia="宋体" w:cs="宋体"/>
          <w:b/>
          <w:color w:val="000000"/>
          <w:sz w:val="24"/>
          <w:szCs w:val="24"/>
          <w:lang w:eastAsia="zh-CN"/>
        </w:rPr>
        <w:t>七</w:t>
      </w:r>
      <w:r>
        <w:rPr>
          <w:rFonts w:hint="eastAsia" w:ascii="宋体" w:hAnsi="宋体" w:eastAsia="宋体" w:cs="宋体"/>
          <w:b/>
          <w:color w:val="000000"/>
          <w:sz w:val="24"/>
          <w:szCs w:val="24"/>
        </w:rPr>
        <w:t>条  拍卖</w:t>
      </w:r>
      <w:r>
        <w:rPr>
          <w:rFonts w:hint="eastAsia" w:ascii="宋体" w:hAnsi="宋体" w:eastAsia="宋体" w:cs="宋体"/>
          <w:b/>
          <w:bCs/>
          <w:color w:val="000000"/>
          <w:kern w:val="0"/>
          <w:sz w:val="24"/>
          <w:szCs w:val="24"/>
        </w:rPr>
        <w:t>结果公告：</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房屋买卖合同</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生效后的2个工作日内，由拍卖人将交易结果在</w:t>
      </w:r>
      <w:r>
        <w:rPr>
          <w:rFonts w:hint="eastAsia" w:ascii="宋体" w:hAnsi="宋体" w:cs="宋体"/>
          <w:kern w:val="0"/>
          <w:sz w:val="24"/>
        </w:rPr>
        <w:t>宁波市公共资源交易电子服务系统</w:t>
      </w:r>
      <w:r>
        <w:rPr>
          <w:rFonts w:hint="eastAsia" w:ascii="宋体" w:hAnsi="宋体" w:cs="宋体"/>
          <w:kern w:val="0"/>
          <w:sz w:val="24"/>
          <w:lang w:eastAsia="zh-CN"/>
        </w:rPr>
        <w:t>（甬易阳光）</w:t>
      </w:r>
      <w:r>
        <w:rPr>
          <w:rFonts w:hint="eastAsia" w:ascii="宋体" w:hAnsi="宋体" w:eastAsia="宋体" w:cs="宋体"/>
          <w:color w:val="000000"/>
          <w:kern w:val="0"/>
          <w:sz w:val="24"/>
          <w:szCs w:val="24"/>
        </w:rPr>
        <w:t>公告5个工作日。</w:t>
      </w:r>
    </w:p>
    <w:p w14:paraId="3904CA01">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488FA2A7">
      <w:pPr>
        <w:keepNext w:val="0"/>
        <w:keepLines w:val="0"/>
        <w:pageBreakBefore w:val="0"/>
        <w:widowControl w:val="0"/>
        <w:kinsoku/>
        <w:wordWrap/>
        <w:overflowPunct/>
        <w:topLinePunct w:val="0"/>
        <w:autoSpaceDE/>
        <w:autoSpaceDN/>
        <w:bidi w:val="0"/>
        <w:adjustRightInd/>
        <w:snapToGrid/>
        <w:spacing w:line="52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50B38639">
      <w:pPr>
        <w:keepNext w:val="0"/>
        <w:keepLines w:val="0"/>
        <w:pageBreakBefore w:val="0"/>
        <w:widowControl w:val="0"/>
        <w:kinsoku/>
        <w:wordWrap/>
        <w:overflowPunct/>
        <w:topLinePunct w:val="0"/>
        <w:autoSpaceDE/>
        <w:autoSpaceDN/>
        <w:bidi w:val="0"/>
        <w:adjustRightInd/>
        <w:snapToGrid/>
        <w:spacing w:line="52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35B658BD">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default" w:ascii="宋体" w:hAnsi="宋体"/>
          <w:b/>
          <w:sz w:val="28"/>
          <w:szCs w:val="28"/>
        </w:rPr>
      </w:pPr>
    </w:p>
    <w:p w14:paraId="30967E67">
      <w:pPr>
        <w:keepNext w:val="0"/>
        <w:keepLines w:val="0"/>
        <w:pageBreakBefore w:val="0"/>
        <w:widowControl w:val="0"/>
        <w:kinsoku/>
        <w:wordWrap/>
        <w:overflowPunct/>
        <w:topLinePunct w:val="0"/>
        <w:autoSpaceDE/>
        <w:autoSpaceDN/>
        <w:bidi w:val="0"/>
        <w:adjustRightInd/>
        <w:snapToGrid/>
        <w:spacing w:before="156" w:beforeLines="50" w:after="156" w:afterLines="50" w:line="520" w:lineRule="exact"/>
        <w:jc w:val="center"/>
        <w:textAlignment w:val="auto"/>
        <w:rPr>
          <w:rFonts w:hint="eastAsia" w:ascii="宋体" w:hAnsi="宋体"/>
          <w:b/>
          <w:sz w:val="28"/>
          <w:szCs w:val="28"/>
        </w:rPr>
      </w:pPr>
      <w:r>
        <w:rPr>
          <w:rFonts w:hint="default" w:ascii="宋体" w:hAnsi="宋体"/>
          <w:b/>
          <w:sz w:val="28"/>
          <w:szCs w:val="28"/>
        </w:rPr>
        <w:t>会场纪律</w:t>
      </w:r>
    </w:p>
    <w:p w14:paraId="3FB5A04F">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lang w:val="en-US" w:eastAsia="zh-CN"/>
        </w:rPr>
        <w:t>一、</w:t>
      </w:r>
      <w:r>
        <w:rPr>
          <w:rFonts w:hint="eastAsia" w:ascii="宋体" w:hAnsi="宋体" w:cs="宋体"/>
          <w:color w:val="auto"/>
          <w:kern w:val="0"/>
          <w:sz w:val="24"/>
        </w:rPr>
        <w:t>竞买人有序进入拍卖会场，拍卖会现场必须服从工作人员的安排。</w:t>
      </w:r>
    </w:p>
    <w:p w14:paraId="0AB87853">
      <w:pPr>
        <w:keepNext w:val="0"/>
        <w:keepLines w:val="0"/>
        <w:pageBreakBefore w:val="0"/>
        <w:widowControl w:val="0"/>
        <w:numPr>
          <w:ilvl w:val="0"/>
          <w:numId w:val="0"/>
        </w:numPr>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二、现场拍卖期间，要求竞买人之间间隔1个座位</w:t>
      </w:r>
      <w:r>
        <w:rPr>
          <w:rFonts w:hint="eastAsia" w:ascii="宋体" w:hAnsi="宋体" w:cs="宋体"/>
          <w:color w:val="auto"/>
          <w:kern w:val="0"/>
          <w:sz w:val="24"/>
          <w:lang w:eastAsia="zh-CN"/>
        </w:rPr>
        <w:t>就座</w:t>
      </w:r>
      <w:r>
        <w:rPr>
          <w:rFonts w:hint="eastAsia" w:ascii="宋体" w:hAnsi="宋体" w:cs="宋体"/>
          <w:color w:val="auto"/>
          <w:kern w:val="0"/>
          <w:sz w:val="24"/>
        </w:rPr>
        <w:t>参拍；严禁聚众扎堆。</w:t>
      </w:r>
    </w:p>
    <w:p w14:paraId="5AB4DE46">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三、进入拍卖会场后，请保持安静，不得大声喧哗。</w:t>
      </w:r>
    </w:p>
    <w:p w14:paraId="5CD81780">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四、自觉爱护场内公共设施、设备，对故意毁坏造成的损失，由当事人负责赔偿。</w:t>
      </w:r>
    </w:p>
    <w:p w14:paraId="527B3941">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五、对故意扰乱现场秩序、干扰拍卖会正常进行的竞买人，工作人员有权劝其退场。</w:t>
      </w:r>
    </w:p>
    <w:p w14:paraId="57FDC2B0">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六、拍卖会结束后，要求竞买人有序退场，同时将号牌归还工作人员。</w:t>
      </w:r>
    </w:p>
    <w:p w14:paraId="428D9463">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七、在会场内禁止吸烟。</w:t>
      </w:r>
    </w:p>
    <w:p w14:paraId="462AE6BF">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八、妥善保管好个人物品，损坏、丢失等后果自负。</w:t>
      </w:r>
    </w:p>
    <w:p w14:paraId="55D99758">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480" w:firstLineChars="200"/>
        <w:jc w:val="both"/>
        <w:textAlignment w:val="auto"/>
        <w:rPr>
          <w:rFonts w:hint="eastAsia" w:ascii="宋体" w:hAnsi="宋体" w:cs="宋体"/>
          <w:color w:val="auto"/>
          <w:kern w:val="0"/>
          <w:sz w:val="24"/>
        </w:rPr>
      </w:pPr>
      <w:r>
        <w:rPr>
          <w:rFonts w:hint="eastAsia" w:ascii="宋体" w:hAnsi="宋体" w:cs="宋体"/>
          <w:color w:val="auto"/>
          <w:kern w:val="0"/>
          <w:sz w:val="24"/>
        </w:rPr>
        <w:t>九、理性应价，谨慎举牌。</w:t>
      </w:r>
    </w:p>
    <w:p w14:paraId="7B7F6349">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720" w:firstLineChars="300"/>
        <w:jc w:val="right"/>
        <w:textAlignment w:val="auto"/>
        <w:rPr>
          <w:rFonts w:hint="eastAsia" w:ascii="宋体" w:hAnsi="宋体" w:cs="宋体"/>
          <w:color w:val="auto"/>
          <w:kern w:val="0"/>
          <w:sz w:val="24"/>
        </w:rPr>
      </w:pPr>
    </w:p>
    <w:p w14:paraId="5DFD359B">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720" w:firstLineChars="300"/>
        <w:jc w:val="right"/>
        <w:textAlignment w:val="auto"/>
        <w:rPr>
          <w:rFonts w:hint="eastAsia" w:ascii="宋体" w:hAnsi="宋体" w:cs="宋体"/>
          <w:color w:val="auto"/>
          <w:kern w:val="0"/>
          <w:sz w:val="24"/>
        </w:rPr>
      </w:pPr>
      <w:r>
        <w:rPr>
          <w:rFonts w:hint="eastAsia" w:ascii="宋体" w:hAnsi="宋体" w:cs="宋体"/>
          <w:color w:val="auto"/>
          <w:kern w:val="0"/>
          <w:sz w:val="24"/>
        </w:rPr>
        <w:t>宁波阳明拍卖有限公司</w:t>
      </w:r>
    </w:p>
    <w:p w14:paraId="1E456D7F">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20" w:lineRule="exact"/>
        <w:ind w:firstLine="1200" w:firstLineChars="500"/>
        <w:jc w:val="right"/>
        <w:textAlignment w:val="auto"/>
        <w:rPr>
          <w:rFonts w:hint="eastAsia" w:ascii="宋体" w:hAnsi="宋体" w:cs="宋体"/>
          <w:color w:val="000000"/>
          <w:sz w:val="24"/>
          <w:lang w:eastAsia="zh-CN"/>
        </w:rPr>
      </w:pPr>
      <w:r>
        <w:rPr>
          <w:rFonts w:hint="eastAsia"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w:t>
      </w:r>
      <w:r>
        <w:rPr>
          <w:rFonts w:hint="eastAsia" w:ascii="宋体" w:hAnsi="宋体" w:cs="宋体"/>
          <w:color w:val="auto"/>
          <w:kern w:val="0"/>
          <w:sz w:val="24"/>
          <w:lang w:val="en-US" w:eastAsia="zh-CN"/>
        </w:rPr>
        <w:t>0</w:t>
      </w:r>
      <w:r>
        <w:rPr>
          <w:rFonts w:hint="eastAsia" w:ascii="宋体" w:hAnsi="宋体" w:cs="宋体"/>
          <w:color w:val="auto"/>
          <w:kern w:val="0"/>
          <w:sz w:val="24"/>
        </w:rPr>
        <w:t>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5</w:t>
      </w:r>
      <w:r>
        <w:rPr>
          <w:rFonts w:hint="eastAsia" w:ascii="宋体" w:hAnsi="宋体" w:cs="宋体"/>
          <w:color w:val="auto"/>
          <w:kern w:val="0"/>
          <w:sz w:val="24"/>
        </w:rPr>
        <w:t>月</w:t>
      </w:r>
      <w:r>
        <w:rPr>
          <w:rFonts w:hint="eastAsia" w:ascii="宋体" w:hAnsi="宋体" w:cs="宋体"/>
          <w:color w:val="auto"/>
          <w:kern w:val="0"/>
          <w:sz w:val="24"/>
          <w:lang w:val="en-US" w:eastAsia="zh-CN"/>
        </w:rPr>
        <w:t>22</w:t>
      </w:r>
      <w:r>
        <w:rPr>
          <w:rFonts w:hint="eastAsia" w:ascii="宋体" w:hAnsi="宋体" w:cs="宋体"/>
          <w:color w:val="auto"/>
          <w:kern w:val="0"/>
          <w:sz w:val="24"/>
        </w:rPr>
        <w:t>日</w:t>
      </w:r>
      <w:bookmarkStart w:id="0" w:name="车棚"/>
      <w:bookmarkEnd w:id="0"/>
    </w:p>
    <w:p w14:paraId="26F296B7"/>
    <w:p w14:paraId="21EF8655"/>
    <w:p w14:paraId="191B4FAD">
      <w:pPr>
        <w:pStyle w:val="4"/>
        <w:keepNext w:val="0"/>
        <w:keepLines w:val="0"/>
        <w:pageBreakBefore w:val="0"/>
        <w:widowControl/>
        <w:kinsoku/>
        <w:wordWrap/>
        <w:overflowPunct/>
        <w:topLinePunct w:val="0"/>
        <w:autoSpaceDE/>
        <w:autoSpaceDN/>
        <w:bidi w:val="0"/>
        <w:adjustRightInd/>
        <w:snapToGrid/>
        <w:jc w:val="center"/>
        <w:textAlignment w:val="auto"/>
        <w:rPr>
          <w:rFonts w:hint="eastAsia" w:ascii="楷体" w:hAnsi="楷体" w:eastAsia="楷体"/>
          <w:b/>
          <w:bCs/>
          <w:spacing w:val="85"/>
          <w:sz w:val="52"/>
          <w:szCs w:val="52"/>
          <w:lang w:val="en-US" w:eastAsia="zh-CN"/>
        </w:rPr>
      </w:pPr>
      <w:r>
        <w:rPr>
          <w:rFonts w:hint="eastAsia" w:ascii="楷体" w:hAnsi="楷体" w:eastAsia="楷体"/>
          <w:b/>
          <w:bCs/>
          <w:spacing w:val="85"/>
          <w:sz w:val="52"/>
          <w:szCs w:val="52"/>
        </w:rPr>
        <w:t>房屋买卖合同</w:t>
      </w:r>
      <w:r>
        <w:rPr>
          <w:rFonts w:hint="eastAsia" w:ascii="楷体" w:hAnsi="楷体" w:eastAsia="楷体"/>
          <w:b/>
          <w:bCs/>
          <w:spacing w:val="85"/>
          <w:sz w:val="52"/>
          <w:szCs w:val="52"/>
          <w:lang w:val="en-US" w:eastAsia="zh-CN"/>
        </w:rPr>
        <w:t>(样本）</w:t>
      </w:r>
    </w:p>
    <w:p w14:paraId="190DFB2C">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eastAsia" w:ascii="楷体" w:hAnsi="楷体" w:eastAsia="楷体" w:cs="Courier New"/>
          <w:sz w:val="28"/>
          <w:szCs w:val="28"/>
        </w:rPr>
      </w:pPr>
      <w:r>
        <w:rPr>
          <w:rFonts w:hint="eastAsia" w:ascii="楷体" w:hAnsi="楷体" w:eastAsia="楷体"/>
          <w:sz w:val="28"/>
          <w:szCs w:val="28"/>
        </w:rPr>
        <w:t>出</w:t>
      </w:r>
      <w:r>
        <w:rPr>
          <w:rFonts w:hint="eastAsia" w:ascii="楷体" w:hAnsi="楷体" w:eastAsia="楷体" w:cs="Courier New"/>
          <w:sz w:val="28"/>
          <w:szCs w:val="28"/>
        </w:rPr>
        <w:t xml:space="preserve">让人：余姚市城市建设投资发展有限公司 </w:t>
      </w:r>
      <w:r>
        <w:rPr>
          <w:rFonts w:hint="eastAsia" w:ascii="楷体" w:hAnsi="楷体" w:eastAsia="楷体" w:cs="Courier New"/>
          <w:sz w:val="28"/>
          <w:szCs w:val="28"/>
          <w:lang w:val="en-US" w:eastAsia="zh-CN"/>
        </w:rPr>
        <w:t xml:space="preserve">   </w:t>
      </w:r>
      <w:r>
        <w:rPr>
          <w:rFonts w:hint="eastAsia" w:ascii="楷体" w:hAnsi="楷体" w:eastAsia="楷体" w:cs="Courier New"/>
          <w:sz w:val="28"/>
          <w:szCs w:val="28"/>
        </w:rPr>
        <w:t xml:space="preserve"> </w:t>
      </w:r>
      <w:r>
        <w:rPr>
          <w:rFonts w:hint="eastAsia" w:ascii="楷体" w:hAnsi="楷体" w:eastAsia="楷体" w:cs="Courier New"/>
          <w:sz w:val="28"/>
          <w:szCs w:val="28"/>
          <w:lang w:val="en-US" w:eastAsia="zh-CN"/>
        </w:rPr>
        <w:t xml:space="preserve"> </w:t>
      </w:r>
      <w:r>
        <w:rPr>
          <w:rFonts w:hint="eastAsia" w:ascii="楷体" w:hAnsi="楷体" w:eastAsia="楷体" w:cs="Courier New"/>
          <w:sz w:val="28"/>
          <w:szCs w:val="28"/>
        </w:rPr>
        <w:t>（以下简称甲方）</w:t>
      </w:r>
    </w:p>
    <w:p w14:paraId="1B92C3D2">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eastAsia" w:ascii="楷体" w:hAnsi="楷体" w:eastAsia="楷体" w:cs="Courier New"/>
          <w:sz w:val="28"/>
          <w:szCs w:val="28"/>
        </w:rPr>
      </w:pPr>
      <w:r>
        <w:rPr>
          <w:rFonts w:hint="eastAsia" w:ascii="楷体" w:hAnsi="楷体" w:eastAsia="楷体" w:cs="Courier New"/>
          <w:sz w:val="28"/>
          <w:szCs w:val="28"/>
        </w:rPr>
        <w:t>受让人:</w:t>
      </w:r>
      <w:r>
        <w:rPr>
          <w:rFonts w:hint="eastAsia" w:ascii="楷体" w:hAnsi="楷体" w:eastAsia="楷体" w:cs="Courier New"/>
          <w:sz w:val="28"/>
          <w:szCs w:val="28"/>
          <w:lang w:val="en-US" w:eastAsia="zh-CN"/>
        </w:rPr>
        <w:t xml:space="preserve">                                     </w:t>
      </w:r>
      <w:r>
        <w:rPr>
          <w:rFonts w:hint="eastAsia" w:ascii="楷体" w:hAnsi="楷体" w:eastAsia="楷体" w:cs="Courier New"/>
          <w:sz w:val="28"/>
          <w:szCs w:val="28"/>
        </w:rPr>
        <w:t>（以下简称乙方）</w:t>
      </w:r>
    </w:p>
    <w:p w14:paraId="15612147">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default" w:ascii="楷体" w:hAnsi="楷体" w:eastAsia="楷体" w:cs="Courier New"/>
          <w:sz w:val="28"/>
          <w:szCs w:val="28"/>
          <w:lang w:val="en-US" w:eastAsia="zh-CN"/>
        </w:rPr>
      </w:pPr>
      <w:r>
        <w:rPr>
          <w:rFonts w:hint="eastAsia" w:ascii="楷体" w:hAnsi="楷体" w:eastAsia="楷体" w:cs="Courier New"/>
          <w:sz w:val="28"/>
          <w:szCs w:val="28"/>
        </w:rPr>
        <w:t>身份证号码:</w:t>
      </w:r>
    </w:p>
    <w:p w14:paraId="2EE1DB2C">
      <w:pPr>
        <w:pStyle w:val="4"/>
        <w:keepNext w:val="0"/>
        <w:keepLines w:val="0"/>
        <w:pageBreakBefore w:val="0"/>
        <w:kinsoku/>
        <w:wordWrap/>
        <w:overflowPunct/>
        <w:topLinePunct w:val="0"/>
        <w:autoSpaceDE/>
        <w:autoSpaceDN/>
        <w:bidi w:val="0"/>
        <w:adjustRightInd/>
        <w:snapToGrid/>
        <w:spacing w:before="156" w:beforeLines="50" w:line="500" w:lineRule="exact"/>
        <w:textAlignment w:val="auto"/>
        <w:rPr>
          <w:rFonts w:hint="default" w:ascii="楷体" w:hAnsi="楷体" w:eastAsia="楷体" w:cs="Courier New"/>
          <w:sz w:val="28"/>
          <w:szCs w:val="28"/>
          <w:lang w:val="en-US" w:eastAsia="zh-CN"/>
        </w:rPr>
      </w:pPr>
      <w:r>
        <w:rPr>
          <w:rFonts w:hint="eastAsia" w:ascii="楷体" w:hAnsi="楷体" w:eastAsia="楷体" w:cs="Courier New"/>
          <w:sz w:val="28"/>
          <w:szCs w:val="28"/>
        </w:rPr>
        <w:t>电话号码：</w:t>
      </w:r>
    </w:p>
    <w:p w14:paraId="08EE02FE">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乙方于</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月</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日在余姚市政务服务中心（谭家岭东路2号）4楼开标室&lt;1&gt;举行的</w:t>
      </w:r>
      <w:r>
        <w:rPr>
          <w:rFonts w:hint="eastAsia" w:ascii="楷体" w:hAnsi="楷体" w:eastAsia="楷体"/>
          <w:color w:val="auto"/>
          <w:sz w:val="28"/>
          <w:szCs w:val="28"/>
          <w:lang w:eastAsia="zh-CN"/>
        </w:rPr>
        <w:t>余姚市城区安馨华苑、黄山公寓3</w:t>
      </w:r>
      <w:r>
        <w:rPr>
          <w:rFonts w:hint="eastAsia" w:ascii="楷体" w:hAnsi="楷体" w:eastAsia="楷体"/>
          <w:color w:val="auto"/>
          <w:sz w:val="28"/>
          <w:szCs w:val="28"/>
          <w:lang w:val="en-US" w:eastAsia="zh-CN"/>
        </w:rPr>
        <w:t>8</w:t>
      </w:r>
      <w:r>
        <w:rPr>
          <w:rFonts w:hint="eastAsia" w:ascii="楷体" w:hAnsi="楷体" w:eastAsia="楷体"/>
          <w:color w:val="auto"/>
          <w:sz w:val="28"/>
          <w:szCs w:val="28"/>
          <w:lang w:eastAsia="zh-CN"/>
        </w:rPr>
        <w:t>套住宅及附属房</w:t>
      </w:r>
      <w:r>
        <w:rPr>
          <w:rFonts w:hint="eastAsia" w:ascii="楷体" w:hAnsi="楷体" w:eastAsia="楷体"/>
          <w:color w:val="auto"/>
          <w:sz w:val="28"/>
          <w:szCs w:val="28"/>
        </w:rPr>
        <w:t>拍卖会上</w:t>
      </w:r>
      <w:r>
        <w:rPr>
          <w:rFonts w:hint="eastAsia" w:ascii="楷体" w:hAnsi="楷体" w:eastAsia="楷体"/>
          <w:sz w:val="28"/>
          <w:szCs w:val="28"/>
        </w:rPr>
        <w:t>，通过公开竞价，竞得余姚市城区</w:t>
      </w:r>
      <w:r>
        <w:rPr>
          <w:rFonts w:hint="eastAsia" w:ascii="楷体" w:hAnsi="楷体" w:eastAsia="楷体"/>
          <w:sz w:val="28"/>
          <w:szCs w:val="28"/>
          <w:u w:val="single"/>
          <w:lang w:val="en-US" w:eastAsia="zh-CN"/>
        </w:rPr>
        <w:t xml:space="preserve">                    </w:t>
      </w:r>
      <w:r>
        <w:rPr>
          <w:rFonts w:hint="eastAsia" w:ascii="楷体" w:hAnsi="楷体" w:eastAsia="楷体"/>
          <w:sz w:val="28"/>
          <w:szCs w:val="28"/>
        </w:rPr>
        <w:t>，经甲乙双方协商，达成以下协议：</w:t>
      </w:r>
    </w:p>
    <w:p w14:paraId="0040BC00">
      <w:pPr>
        <w:keepNext w:val="0"/>
        <w:keepLines w:val="0"/>
        <w:pageBreakBefore w:val="0"/>
        <w:widowControl w:val="0"/>
        <w:numPr>
          <w:ilvl w:val="0"/>
          <w:numId w:val="1"/>
        </w:num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548" w:firstLineChars="196"/>
        <w:jc w:val="left"/>
        <w:textAlignment w:val="auto"/>
        <w:rPr>
          <w:rFonts w:hint="eastAsia" w:ascii="楷体" w:hAnsi="楷体" w:eastAsia="楷体"/>
          <w:sz w:val="28"/>
          <w:szCs w:val="28"/>
          <w:u w:val="none"/>
          <w:lang w:val="en-US" w:eastAsia="zh-CN"/>
        </w:rPr>
      </w:pPr>
      <w:r>
        <w:rPr>
          <w:rFonts w:hint="eastAsia" w:ascii="楷体" w:hAnsi="楷体" w:eastAsia="楷体"/>
          <w:sz w:val="28"/>
          <w:szCs w:val="28"/>
        </w:rPr>
        <w:t>转让标的：余姚市城区</w:t>
      </w:r>
      <w:r>
        <w:rPr>
          <w:rFonts w:hint="eastAsia" w:ascii="楷体" w:hAnsi="楷体" w:eastAsia="楷体"/>
          <w:sz w:val="28"/>
          <w:szCs w:val="28"/>
          <w:u w:val="single"/>
          <w:lang w:val="en-US" w:eastAsia="zh-CN"/>
        </w:rPr>
        <w:t xml:space="preserve">                       </w:t>
      </w:r>
      <w:r>
        <w:rPr>
          <w:rFonts w:hint="eastAsia" w:ascii="楷体" w:hAnsi="楷体" w:eastAsia="楷体"/>
          <w:sz w:val="28"/>
          <w:szCs w:val="28"/>
        </w:rPr>
        <w:t>。</w:t>
      </w:r>
      <w:r>
        <w:rPr>
          <w:rFonts w:hint="eastAsia" w:ascii="楷体" w:hAnsi="楷体" w:eastAsia="楷体"/>
          <w:sz w:val="28"/>
          <w:szCs w:val="28"/>
          <w:lang w:eastAsia="zh-CN"/>
        </w:rPr>
        <w:t>权证编</w:t>
      </w:r>
      <w:r>
        <w:rPr>
          <w:rFonts w:hint="eastAsia" w:ascii="楷体" w:hAnsi="楷体" w:eastAsia="楷体"/>
          <w:sz w:val="28"/>
          <w:szCs w:val="28"/>
        </w:rPr>
        <w:t>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w:t>
      </w:r>
      <w:r>
        <w:rPr>
          <w:rFonts w:hint="eastAsia" w:ascii="楷体" w:hAnsi="楷体" w:eastAsia="楷体"/>
          <w:sz w:val="28"/>
          <w:szCs w:val="28"/>
          <w:lang w:eastAsia="zh-CN"/>
        </w:rPr>
        <w:t>建筑</w:t>
      </w:r>
      <w:r>
        <w:rPr>
          <w:rFonts w:hint="eastAsia" w:ascii="楷体" w:hAnsi="楷体" w:eastAsia="楷体"/>
          <w:sz w:val="28"/>
          <w:szCs w:val="28"/>
        </w:rPr>
        <w:t>面积：</w:t>
      </w:r>
      <w:r>
        <w:rPr>
          <w:rFonts w:hint="eastAsia" w:ascii="楷体" w:hAnsi="楷体" w:eastAsia="楷体"/>
          <w:sz w:val="28"/>
          <w:szCs w:val="28"/>
          <w:u w:val="single"/>
          <w:lang w:val="en-US" w:eastAsia="zh-CN"/>
        </w:rPr>
        <w:t xml:space="preserve">       </w:t>
      </w:r>
      <w:r>
        <w:rPr>
          <w:rFonts w:hint="eastAsia" w:ascii="楷体" w:hAnsi="楷体" w:eastAsia="楷体" w:cs="Times New Roman"/>
          <w:sz w:val="28"/>
          <w:szCs w:val="28"/>
        </w:rPr>
        <w:t>平方米；</w:t>
      </w:r>
      <w:r>
        <w:rPr>
          <w:rFonts w:hint="eastAsia" w:ascii="楷体" w:hAnsi="楷体" w:eastAsia="楷体" w:cs="Times New Roman"/>
          <w:sz w:val="28"/>
          <w:szCs w:val="28"/>
          <w:lang w:eastAsia="zh-CN"/>
        </w:rPr>
        <w:t>用途</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；土地</w:t>
      </w:r>
      <w:r>
        <w:rPr>
          <w:rFonts w:hint="eastAsia" w:ascii="楷体" w:hAnsi="楷体" w:eastAsia="楷体"/>
          <w:sz w:val="28"/>
          <w:szCs w:val="28"/>
          <w:lang w:eastAsia="zh-CN"/>
        </w:rPr>
        <w:t>使用权证</w:t>
      </w:r>
      <w:r>
        <w:rPr>
          <w:rFonts w:hint="eastAsia" w:ascii="楷体" w:hAnsi="楷体" w:eastAsia="楷体"/>
          <w:sz w:val="28"/>
          <w:szCs w:val="28"/>
        </w:rPr>
        <w:t>编号：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，证载土地面积：</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平方米；</w:t>
      </w:r>
      <w:r>
        <w:rPr>
          <w:rFonts w:hint="eastAsia" w:ascii="楷体" w:hAnsi="楷体" w:eastAsia="楷体"/>
          <w:sz w:val="28"/>
          <w:szCs w:val="28"/>
          <w:lang w:val="en-US" w:eastAsia="zh-CN"/>
        </w:rPr>
        <w:t>/</w:t>
      </w:r>
      <w:r>
        <w:rPr>
          <w:rFonts w:hint="eastAsia" w:ascii="楷体" w:hAnsi="楷体" w:eastAsia="楷体"/>
          <w:sz w:val="28"/>
          <w:szCs w:val="28"/>
        </w:rPr>
        <w:t>余姚市城区</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u w:val="none"/>
          <w:lang w:val="en-US" w:eastAsia="zh-CN"/>
        </w:rPr>
        <w:t>，</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幢</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室附房</w:t>
      </w:r>
      <w:r>
        <w:rPr>
          <w:rFonts w:hint="eastAsia" w:ascii="楷体" w:hAnsi="楷体" w:eastAsia="楷体"/>
          <w:sz w:val="28"/>
          <w:szCs w:val="28"/>
        </w:rPr>
        <w:t>。</w:t>
      </w:r>
      <w:r>
        <w:rPr>
          <w:rFonts w:hint="eastAsia" w:ascii="楷体" w:hAnsi="楷体" w:eastAsia="楷体"/>
          <w:sz w:val="28"/>
          <w:szCs w:val="28"/>
          <w:lang w:eastAsia="zh-CN"/>
        </w:rPr>
        <w:t>房产备案卡</w:t>
      </w:r>
      <w:r>
        <w:rPr>
          <w:rFonts w:hint="eastAsia" w:ascii="楷体" w:hAnsi="楷体" w:eastAsia="楷体"/>
          <w:sz w:val="28"/>
          <w:szCs w:val="28"/>
        </w:rPr>
        <w:t>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w:t>
      </w:r>
      <w:r>
        <w:rPr>
          <w:rFonts w:hint="eastAsia" w:ascii="楷体" w:hAnsi="楷体" w:eastAsia="楷体"/>
          <w:sz w:val="28"/>
          <w:szCs w:val="28"/>
          <w:lang w:eastAsia="zh-CN"/>
        </w:rPr>
        <w:t>使用</w:t>
      </w:r>
      <w:r>
        <w:rPr>
          <w:rFonts w:hint="eastAsia" w:ascii="楷体" w:hAnsi="楷体" w:eastAsia="楷体"/>
          <w:sz w:val="28"/>
          <w:szCs w:val="28"/>
        </w:rPr>
        <w:t>面积：</w:t>
      </w:r>
      <w:r>
        <w:rPr>
          <w:rFonts w:hint="eastAsia" w:ascii="楷体" w:hAnsi="楷体" w:eastAsia="楷体"/>
          <w:sz w:val="28"/>
          <w:szCs w:val="28"/>
          <w:u w:val="single"/>
          <w:lang w:val="en-US" w:eastAsia="zh-CN"/>
        </w:rPr>
        <w:t xml:space="preserve">    </w:t>
      </w:r>
      <w:r>
        <w:rPr>
          <w:rFonts w:hint="eastAsia" w:ascii="楷体" w:hAnsi="楷体" w:eastAsia="楷体"/>
          <w:sz w:val="32"/>
          <w:szCs w:val="32"/>
        </w:rPr>
        <w:t>平方米；</w:t>
      </w:r>
      <w:r>
        <w:rPr>
          <w:rFonts w:hint="eastAsia" w:ascii="楷体" w:hAnsi="楷体" w:eastAsia="楷体"/>
          <w:sz w:val="28"/>
          <w:szCs w:val="28"/>
        </w:rPr>
        <w:t>阁楼建筑面积</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平方米；土地编号：</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，证载土地面积：</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平方米；架空层</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号，</w:t>
      </w:r>
      <w:r>
        <w:rPr>
          <w:rFonts w:hint="eastAsia" w:ascii="楷体" w:hAnsi="楷体" w:eastAsia="楷体"/>
          <w:sz w:val="28"/>
          <w:szCs w:val="28"/>
        </w:rPr>
        <w:t>面积</w:t>
      </w:r>
      <w:r>
        <w:rPr>
          <w:rFonts w:hint="eastAsia" w:ascii="楷体" w:hAnsi="楷体" w:eastAsia="楷体"/>
          <w:sz w:val="28"/>
          <w:szCs w:val="28"/>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平方米。</w:t>
      </w:r>
    </w:p>
    <w:p w14:paraId="5F4FA4F7">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u w:val="single"/>
        </w:rPr>
      </w:pPr>
      <w:r>
        <w:rPr>
          <w:rFonts w:hint="eastAsia" w:ascii="楷体" w:hAnsi="楷体" w:eastAsia="楷体"/>
          <w:sz w:val="28"/>
          <w:szCs w:val="28"/>
        </w:rPr>
        <w:t>二、转让标的价款及支付期限：转让标的价款为人民币</w:t>
      </w:r>
      <w:r>
        <w:rPr>
          <w:rFonts w:hint="eastAsia" w:ascii="楷体" w:hAnsi="楷体" w:eastAsia="楷体"/>
          <w:sz w:val="28"/>
          <w:szCs w:val="28"/>
          <w:u w:val="single"/>
          <w:lang w:val="en-US" w:eastAsia="zh-CN"/>
        </w:rPr>
        <w:t xml:space="preserve">    </w:t>
      </w:r>
      <w:r>
        <w:rPr>
          <w:rFonts w:hint="eastAsia" w:ascii="楷体" w:hAnsi="楷体" w:eastAsia="楷体"/>
          <w:sz w:val="28"/>
          <w:szCs w:val="28"/>
          <w:u w:val="none"/>
        </w:rPr>
        <w:t xml:space="preserve">元  </w:t>
      </w:r>
      <w:r>
        <w:rPr>
          <w:rFonts w:hint="eastAsia" w:ascii="楷体" w:hAnsi="楷体" w:eastAsia="楷体"/>
          <w:sz w:val="28"/>
          <w:szCs w:val="28"/>
        </w:rPr>
        <w:t>大写</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 xml:space="preserve"> 。</w:t>
      </w:r>
      <w:r>
        <w:rPr>
          <w:rFonts w:hint="eastAsia" w:ascii="楷体" w:hAnsi="楷体" w:eastAsia="楷体"/>
          <w:sz w:val="28"/>
          <w:szCs w:val="28"/>
        </w:rPr>
        <w:t>乙方已在</w:t>
      </w:r>
      <w:r>
        <w:rPr>
          <w:rFonts w:hint="eastAsia" w:ascii="楷体" w:hAnsi="楷体" w:eastAsia="楷体"/>
          <w:sz w:val="28"/>
          <w:szCs w:val="28"/>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月</w:t>
      </w:r>
      <w:r>
        <w:rPr>
          <w:rFonts w:hint="eastAsia" w:ascii="楷体" w:hAnsi="楷体" w:eastAsia="楷体"/>
          <w:sz w:val="28"/>
          <w:szCs w:val="28"/>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日下午</w:t>
      </w:r>
      <w:r>
        <w:rPr>
          <w:rFonts w:hint="eastAsia" w:ascii="楷体" w:hAnsi="楷体" w:eastAsia="楷体"/>
          <w:sz w:val="28"/>
          <w:szCs w:val="28"/>
          <w:u w:val="single"/>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时前向甲方一次性付清全部成交款。</w:t>
      </w:r>
    </w:p>
    <w:p w14:paraId="7CE8F424">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600"/>
        <w:textAlignment w:val="auto"/>
        <w:rPr>
          <w:rFonts w:hint="eastAsia" w:ascii="楷体" w:hAnsi="楷体" w:eastAsia="楷体"/>
          <w:sz w:val="28"/>
          <w:szCs w:val="28"/>
        </w:rPr>
      </w:pPr>
      <w:r>
        <w:rPr>
          <w:rFonts w:hint="eastAsia" w:ascii="楷体" w:hAnsi="楷体" w:eastAsia="楷体"/>
          <w:sz w:val="28"/>
          <w:szCs w:val="28"/>
        </w:rPr>
        <w:t>三、标的及权证交付：</w:t>
      </w:r>
      <w:r>
        <w:rPr>
          <w:rFonts w:hint="eastAsia" w:ascii="楷体" w:hAnsi="楷体" w:eastAsia="楷体"/>
          <w:sz w:val="28"/>
          <w:szCs w:val="28"/>
          <w:u w:val="none"/>
          <w:lang w:val="en-US" w:eastAsia="zh-CN"/>
        </w:rPr>
        <w:t xml:space="preserve"> </w:t>
      </w:r>
      <w:r>
        <w:rPr>
          <w:rFonts w:hint="eastAsia" w:ascii="楷体" w:hAnsi="楷体" w:eastAsia="楷体"/>
          <w:sz w:val="28"/>
          <w:szCs w:val="28"/>
          <w:u w:val="single"/>
          <w:lang w:val="en-US" w:eastAsia="zh-CN"/>
        </w:rPr>
        <w:t xml:space="preserve">     </w:t>
      </w:r>
      <w:r>
        <w:rPr>
          <w:rFonts w:hint="eastAsia" w:ascii="楷体" w:hAnsi="楷体" w:eastAsia="楷体"/>
          <w:sz w:val="28"/>
          <w:szCs w:val="28"/>
          <w:lang w:val="en-US" w:eastAsia="zh-CN"/>
        </w:rPr>
        <w:t>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月</w:t>
      </w:r>
      <w:r>
        <w:rPr>
          <w:rFonts w:hint="eastAsia" w:ascii="楷体" w:hAnsi="楷体" w:eastAsia="楷体"/>
          <w:sz w:val="28"/>
          <w:szCs w:val="28"/>
          <w:u w:val="single"/>
          <w:lang w:val="en-US" w:eastAsia="zh-CN"/>
        </w:rPr>
        <w:t xml:space="preserve">    </w:t>
      </w:r>
      <w:r>
        <w:rPr>
          <w:rFonts w:hint="eastAsia" w:ascii="楷体" w:hAnsi="楷体" w:eastAsia="楷体"/>
          <w:sz w:val="28"/>
          <w:szCs w:val="28"/>
        </w:rPr>
        <w:t>日前。</w:t>
      </w:r>
    </w:p>
    <w:p w14:paraId="33BAA83B">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600"/>
        <w:textAlignment w:val="auto"/>
        <w:rPr>
          <w:rFonts w:hint="eastAsia" w:ascii="楷体" w:hAnsi="楷体" w:eastAsia="楷体"/>
          <w:sz w:val="28"/>
          <w:szCs w:val="28"/>
        </w:rPr>
      </w:pPr>
      <w:r>
        <w:rPr>
          <w:rFonts w:hint="eastAsia" w:ascii="楷体" w:hAnsi="楷体" w:eastAsia="楷体"/>
          <w:sz w:val="28"/>
          <w:szCs w:val="28"/>
        </w:rPr>
        <w:t>四、权证过户手续由乙方为主办理，甲方予以协助。权证过户过程中按规定由双方各自支付的税、费等均由双方自行承担、支付。</w:t>
      </w:r>
    </w:p>
    <w:p w14:paraId="2CD847B1">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600"/>
        <w:textAlignment w:val="auto"/>
        <w:rPr>
          <w:rFonts w:hint="eastAsia" w:ascii="楷体" w:hAnsi="楷体" w:eastAsia="楷体"/>
          <w:sz w:val="28"/>
          <w:szCs w:val="28"/>
        </w:rPr>
      </w:pPr>
      <w:r>
        <w:rPr>
          <w:rFonts w:hint="eastAsia" w:ascii="楷体" w:hAnsi="楷体" w:eastAsia="楷体"/>
          <w:sz w:val="28"/>
          <w:szCs w:val="28"/>
        </w:rPr>
        <w:t>五、违约责任：</w:t>
      </w:r>
    </w:p>
    <w:p w14:paraId="227C9FC2">
      <w:pPr>
        <w:keepNext w:val="0"/>
        <w:keepLines w:val="0"/>
        <w:pageBreakBefore w:val="0"/>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iCs/>
          <w:sz w:val="28"/>
          <w:szCs w:val="28"/>
        </w:rPr>
        <w:t>1</w:t>
      </w:r>
      <w:r>
        <w:rPr>
          <w:rFonts w:hint="eastAsia" w:ascii="楷体" w:hAnsi="楷体" w:eastAsia="楷体"/>
          <w:iCs/>
          <w:sz w:val="28"/>
          <w:szCs w:val="28"/>
          <w:lang w:val="en-US" w:eastAsia="zh-CN"/>
        </w:rPr>
        <w:t>.</w:t>
      </w:r>
      <w:r>
        <w:rPr>
          <w:rFonts w:hint="eastAsia" w:ascii="楷体" w:hAnsi="楷体" w:eastAsia="楷体"/>
          <w:iCs/>
          <w:sz w:val="28"/>
          <w:szCs w:val="28"/>
        </w:rPr>
        <w:t>甲方如</w:t>
      </w:r>
      <w:r>
        <w:rPr>
          <w:rFonts w:hint="eastAsia" w:ascii="楷体" w:hAnsi="楷体" w:eastAsia="楷体"/>
          <w:sz w:val="28"/>
          <w:szCs w:val="28"/>
        </w:rPr>
        <w:t>未能按期移交转让标的，每逾期一天，应按逾期未移交标的价款万分之五的比例向乙方支付违约金。</w:t>
      </w:r>
    </w:p>
    <w:p w14:paraId="642379CA">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2</w:t>
      </w:r>
      <w:r>
        <w:rPr>
          <w:rFonts w:hint="eastAsia" w:ascii="楷体" w:hAnsi="楷体" w:eastAsia="楷体"/>
          <w:sz w:val="28"/>
          <w:szCs w:val="28"/>
          <w:lang w:val="en-US" w:eastAsia="zh-CN"/>
        </w:rPr>
        <w:t>.</w:t>
      </w:r>
      <w:r>
        <w:rPr>
          <w:rFonts w:hint="eastAsia" w:ascii="楷体" w:hAnsi="楷体" w:eastAsia="楷体"/>
          <w:sz w:val="28"/>
          <w:szCs w:val="28"/>
        </w:rPr>
        <w:t>乙方如未能按期接收转让标的，每逾期一天，应按逾期未接收标的价款万分之五的比例向甲方支付违约金。</w:t>
      </w:r>
    </w:p>
    <w:p w14:paraId="230BDBE6">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cs="Times New Roman"/>
          <w:kern w:val="2"/>
          <w:sz w:val="28"/>
          <w:szCs w:val="28"/>
        </w:rPr>
        <w:t>六、</w:t>
      </w:r>
      <w:r>
        <w:rPr>
          <w:rFonts w:hint="eastAsia" w:ascii="楷体" w:hAnsi="楷体" w:eastAsia="楷体" w:cs="Times New Roman"/>
          <w:kern w:val="2"/>
          <w:sz w:val="28"/>
          <w:szCs w:val="28"/>
          <w:lang w:eastAsia="zh-CN"/>
        </w:rPr>
        <w:t>交付保修期</w:t>
      </w:r>
      <w:r>
        <w:rPr>
          <w:rFonts w:hint="eastAsia" w:ascii="楷体" w:hAnsi="楷体" w:eastAsia="楷体" w:cs="Times New Roman"/>
          <w:kern w:val="2"/>
          <w:sz w:val="28"/>
          <w:szCs w:val="28"/>
          <w:lang w:val="en-US" w:eastAsia="zh-CN"/>
        </w:rPr>
        <w:t>:</w:t>
      </w:r>
      <w:r>
        <w:rPr>
          <w:rFonts w:hint="eastAsia" w:ascii="楷体" w:hAnsi="楷体" w:eastAsia="楷体" w:cs="Times New Roman"/>
          <w:kern w:val="2"/>
          <w:sz w:val="28"/>
          <w:szCs w:val="28"/>
          <w:lang w:eastAsia="zh-CN"/>
        </w:rPr>
        <w:t>是指安置小区交付备案后，我公司承诺业主的工程质量缺陷保修期限；其保修期限自小区交付备案之日起计算，按现行国家《房屋建筑工程质量保修办法》条款规定执行，其中屋面防水、卫生间防水及外墙面的防渗漏保修期限为</w:t>
      </w:r>
      <w:r>
        <w:rPr>
          <w:rFonts w:hint="eastAsia" w:ascii="楷体" w:hAnsi="楷体" w:eastAsia="楷体" w:cs="Times New Roman"/>
          <w:kern w:val="2"/>
          <w:sz w:val="28"/>
          <w:szCs w:val="28"/>
          <w:lang w:val="en-US" w:eastAsia="zh-CN"/>
        </w:rPr>
        <w:t>8年。</w:t>
      </w:r>
    </w:p>
    <w:p w14:paraId="2FA00374">
      <w:pPr>
        <w:pStyle w:val="4"/>
        <w:keepNext w:val="0"/>
        <w:keepLines w:val="0"/>
        <w:pageBreakBefore w:val="0"/>
        <w:kinsoku/>
        <w:wordWrap/>
        <w:overflowPunct/>
        <w:topLinePunct w:val="0"/>
        <w:autoSpaceDE/>
        <w:autoSpaceDN/>
        <w:bidi w:val="0"/>
        <w:adjustRightInd/>
        <w:snapToGrid/>
        <w:spacing w:line="500" w:lineRule="exact"/>
        <w:ind w:firstLine="555"/>
        <w:textAlignment w:val="auto"/>
        <w:rPr>
          <w:rFonts w:hint="eastAsia" w:ascii="楷体" w:hAnsi="楷体" w:eastAsia="楷体"/>
          <w:sz w:val="28"/>
          <w:szCs w:val="28"/>
        </w:rPr>
      </w:pPr>
      <w:r>
        <w:rPr>
          <w:rFonts w:hint="eastAsia" w:ascii="楷体" w:hAnsi="楷体" w:eastAsia="楷体"/>
          <w:sz w:val="28"/>
          <w:szCs w:val="28"/>
        </w:rPr>
        <w:t>七、解决纠纷的方式：甲乙双方发生履约争议时，应先进行协商解决。协商不成，可依法向余姚市人民法院起诉。</w:t>
      </w:r>
    </w:p>
    <w:p w14:paraId="702FD43C">
      <w:pPr>
        <w:pStyle w:val="4"/>
        <w:keepNext w:val="0"/>
        <w:keepLines w:val="0"/>
        <w:pageBreakBefore w:val="0"/>
        <w:kinsoku/>
        <w:wordWrap/>
        <w:overflowPunct/>
        <w:topLinePunct w:val="0"/>
        <w:autoSpaceDE/>
        <w:autoSpaceDN/>
        <w:bidi w:val="0"/>
        <w:adjustRightInd/>
        <w:snapToGrid/>
        <w:spacing w:line="500" w:lineRule="exact"/>
        <w:ind w:firstLine="484" w:firstLineChars="173"/>
        <w:textAlignment w:val="auto"/>
        <w:rPr>
          <w:rFonts w:hint="eastAsia" w:ascii="楷体" w:hAnsi="楷体" w:eastAsia="楷体"/>
          <w:sz w:val="28"/>
          <w:szCs w:val="28"/>
        </w:rPr>
      </w:pPr>
      <w:r>
        <w:rPr>
          <w:rFonts w:hint="eastAsia" w:ascii="楷体" w:hAnsi="楷体" w:eastAsia="楷体"/>
          <w:sz w:val="28"/>
          <w:szCs w:val="28"/>
        </w:rPr>
        <w:t>八、本次房产的《拍卖公告》和《拍卖须知》是合同的组成部分。本合同经双方签字或盖章后生效。</w:t>
      </w:r>
    </w:p>
    <w:p w14:paraId="530B7CC5">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本合同正本四份，甲方执二份，乙方执二份。</w:t>
      </w:r>
    </w:p>
    <w:p w14:paraId="0A9BE6B9">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p>
    <w:p w14:paraId="24EF643C">
      <w:pPr>
        <w:pStyle w:val="4"/>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sz w:val="28"/>
          <w:szCs w:val="28"/>
        </w:rPr>
      </w:pPr>
      <w:r>
        <w:rPr>
          <w:rFonts w:hint="eastAsia" w:ascii="楷体" w:hAnsi="楷体" w:eastAsia="楷体"/>
          <w:sz w:val="28"/>
          <w:szCs w:val="28"/>
        </w:rPr>
        <w:t xml:space="preserve">出让人（盖章）             </w:t>
      </w:r>
      <w:r>
        <w:rPr>
          <w:rFonts w:hint="eastAsia" w:ascii="楷体" w:hAnsi="楷体" w:eastAsia="楷体"/>
          <w:sz w:val="28"/>
          <w:szCs w:val="28"/>
          <w:lang w:val="en-US" w:eastAsia="zh-CN"/>
        </w:rPr>
        <w:t xml:space="preserve">    </w:t>
      </w:r>
      <w:r>
        <w:rPr>
          <w:rFonts w:hint="eastAsia" w:ascii="楷体" w:hAnsi="楷体" w:eastAsia="楷体"/>
          <w:sz w:val="28"/>
          <w:szCs w:val="28"/>
        </w:rPr>
        <w:t>受让人：</w:t>
      </w:r>
    </w:p>
    <w:p w14:paraId="0644A717">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28"/>
          <w:szCs w:val="28"/>
        </w:rPr>
      </w:pPr>
    </w:p>
    <w:p w14:paraId="70753571">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6C3EC288">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 xml:space="preserve">法定代表人：              </w:t>
      </w:r>
    </w:p>
    <w:p w14:paraId="473C17EC">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27DCB32C">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62D852A8">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 xml:space="preserve">委托代理人：              </w:t>
      </w:r>
      <w:r>
        <w:rPr>
          <w:rFonts w:hint="eastAsia" w:ascii="楷体" w:hAnsi="楷体" w:eastAsia="楷体"/>
          <w:sz w:val="30"/>
          <w:szCs w:val="30"/>
          <w:lang w:val="en-US" w:eastAsia="zh-CN"/>
        </w:rPr>
        <w:t xml:space="preserve">  </w:t>
      </w:r>
      <w:r>
        <w:rPr>
          <w:rFonts w:hint="eastAsia" w:ascii="楷体" w:hAnsi="楷体" w:eastAsia="楷体"/>
          <w:sz w:val="30"/>
          <w:szCs w:val="30"/>
        </w:rPr>
        <w:t>委托代理人：</w:t>
      </w:r>
    </w:p>
    <w:p w14:paraId="5D88535C">
      <w:pPr>
        <w:pStyle w:val="4"/>
        <w:keepNext w:val="0"/>
        <w:keepLines w:val="0"/>
        <w:pageBreakBefore w:val="0"/>
        <w:kinsoku/>
        <w:wordWrap/>
        <w:overflowPunct/>
        <w:topLinePunct w:val="0"/>
        <w:autoSpaceDE/>
        <w:autoSpaceDN/>
        <w:bidi w:val="0"/>
        <w:adjustRightInd/>
        <w:snapToGrid/>
        <w:spacing w:line="500" w:lineRule="exact"/>
        <w:ind w:firstLine="450" w:firstLineChars="150"/>
        <w:textAlignment w:val="auto"/>
        <w:rPr>
          <w:rFonts w:hint="eastAsia" w:ascii="楷体" w:hAnsi="楷体" w:eastAsia="楷体"/>
          <w:sz w:val="30"/>
          <w:szCs w:val="30"/>
        </w:rPr>
      </w:pPr>
    </w:p>
    <w:p w14:paraId="19A55D8E">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2571244E">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地  址：余姚市</w:t>
      </w:r>
      <w:r>
        <w:rPr>
          <w:rFonts w:hint="eastAsia" w:ascii="楷体" w:hAnsi="楷体" w:eastAsia="楷体"/>
          <w:sz w:val="30"/>
          <w:szCs w:val="30"/>
          <w:lang w:eastAsia="zh-CN"/>
        </w:rPr>
        <w:t>谭家岭东</w:t>
      </w:r>
      <w:r>
        <w:rPr>
          <w:rFonts w:hint="eastAsia" w:ascii="楷体" w:hAnsi="楷体" w:eastAsia="楷体"/>
          <w:sz w:val="30"/>
          <w:szCs w:val="30"/>
        </w:rPr>
        <w:t xml:space="preserve">路  </w:t>
      </w:r>
      <w:r>
        <w:rPr>
          <w:rFonts w:hint="eastAsia" w:ascii="楷体" w:hAnsi="楷体" w:eastAsia="楷体"/>
          <w:sz w:val="30"/>
          <w:szCs w:val="30"/>
          <w:lang w:val="en-US" w:eastAsia="zh-CN"/>
        </w:rPr>
        <w:t xml:space="preserve">  </w:t>
      </w:r>
      <w:r>
        <w:rPr>
          <w:rFonts w:hint="eastAsia" w:ascii="楷体" w:hAnsi="楷体" w:eastAsia="楷体"/>
          <w:sz w:val="30"/>
          <w:szCs w:val="30"/>
        </w:rPr>
        <w:t>地  址：</w:t>
      </w:r>
    </w:p>
    <w:p w14:paraId="4EB3B6A2">
      <w:pPr>
        <w:pStyle w:val="4"/>
        <w:keepNext w:val="0"/>
        <w:keepLines w:val="0"/>
        <w:pageBreakBefore w:val="0"/>
        <w:kinsoku/>
        <w:wordWrap/>
        <w:overflowPunct/>
        <w:topLinePunct w:val="0"/>
        <w:autoSpaceDE/>
        <w:autoSpaceDN/>
        <w:bidi w:val="0"/>
        <w:adjustRightInd/>
        <w:snapToGrid/>
        <w:spacing w:line="500" w:lineRule="exact"/>
        <w:ind w:firstLine="1650" w:firstLineChars="550"/>
        <w:textAlignment w:val="auto"/>
        <w:rPr>
          <w:rFonts w:hint="eastAsia" w:ascii="楷体" w:hAnsi="楷体" w:eastAsia="楷体"/>
          <w:sz w:val="30"/>
          <w:szCs w:val="30"/>
        </w:rPr>
      </w:pPr>
      <w:r>
        <w:rPr>
          <w:rFonts w:hint="eastAsia" w:ascii="楷体" w:hAnsi="楷体" w:eastAsia="楷体"/>
          <w:sz w:val="30"/>
          <w:szCs w:val="30"/>
        </w:rPr>
        <w:t>2号</w:t>
      </w:r>
      <w:r>
        <w:rPr>
          <w:rFonts w:hint="eastAsia" w:ascii="楷体" w:hAnsi="楷体" w:eastAsia="楷体"/>
          <w:sz w:val="30"/>
          <w:szCs w:val="30"/>
          <w:lang w:val="en-US" w:eastAsia="zh-CN"/>
        </w:rPr>
        <w:t>-16楼</w:t>
      </w:r>
      <w:r>
        <w:rPr>
          <w:rFonts w:hint="eastAsia" w:ascii="楷体" w:hAnsi="楷体" w:eastAsia="楷体"/>
          <w:sz w:val="30"/>
          <w:szCs w:val="30"/>
        </w:rPr>
        <w:t xml:space="preserve">                    </w:t>
      </w:r>
    </w:p>
    <w:p w14:paraId="5DC4E28E">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sz w:val="30"/>
          <w:szCs w:val="30"/>
        </w:rPr>
      </w:pPr>
    </w:p>
    <w:p w14:paraId="2B076D3D">
      <w:pPr>
        <w:pStyle w:val="4"/>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sz w:val="30"/>
          <w:szCs w:val="30"/>
        </w:rPr>
      </w:pPr>
      <w:r>
        <w:rPr>
          <w:rFonts w:hint="eastAsia" w:ascii="楷体" w:hAnsi="楷体" w:eastAsia="楷体"/>
          <w:sz w:val="30"/>
          <w:szCs w:val="30"/>
        </w:rPr>
        <w:t xml:space="preserve">电  话：62755061          </w:t>
      </w:r>
      <w:r>
        <w:rPr>
          <w:rFonts w:hint="eastAsia" w:ascii="楷体" w:hAnsi="楷体" w:eastAsia="楷体"/>
          <w:sz w:val="30"/>
          <w:szCs w:val="30"/>
          <w:lang w:val="en-US" w:eastAsia="zh-CN"/>
        </w:rPr>
        <w:t xml:space="preserve">  </w:t>
      </w:r>
      <w:r>
        <w:rPr>
          <w:rFonts w:hint="eastAsia" w:ascii="楷体" w:hAnsi="楷体" w:eastAsia="楷体"/>
          <w:sz w:val="30"/>
          <w:szCs w:val="30"/>
        </w:rPr>
        <w:t>电  话：</w:t>
      </w:r>
    </w:p>
    <w:p w14:paraId="7F858382">
      <w:pPr>
        <w:pStyle w:val="4"/>
        <w:keepNext w:val="0"/>
        <w:keepLines w:val="0"/>
        <w:pageBreakBefore w:val="0"/>
        <w:kinsoku/>
        <w:wordWrap/>
        <w:overflowPunct/>
        <w:topLinePunct w:val="0"/>
        <w:autoSpaceDE/>
        <w:autoSpaceDN/>
        <w:bidi w:val="0"/>
        <w:adjustRightInd/>
        <w:snapToGrid/>
        <w:spacing w:line="500" w:lineRule="exact"/>
        <w:ind w:firstLine="4800" w:firstLineChars="1600"/>
        <w:textAlignment w:val="auto"/>
        <w:rPr>
          <w:rFonts w:hint="eastAsia" w:ascii="楷体" w:hAnsi="楷体" w:eastAsia="楷体"/>
          <w:sz w:val="30"/>
          <w:szCs w:val="30"/>
        </w:rPr>
      </w:pPr>
    </w:p>
    <w:p w14:paraId="05F4F64E">
      <w:pPr>
        <w:pStyle w:val="4"/>
        <w:keepNext w:val="0"/>
        <w:keepLines w:val="0"/>
        <w:pageBreakBefore w:val="0"/>
        <w:kinsoku/>
        <w:wordWrap/>
        <w:overflowPunct/>
        <w:topLinePunct w:val="0"/>
        <w:autoSpaceDE/>
        <w:autoSpaceDN/>
        <w:bidi w:val="0"/>
        <w:adjustRightInd/>
        <w:snapToGrid/>
        <w:spacing w:line="500" w:lineRule="exact"/>
        <w:ind w:firstLine="5120" w:firstLineChars="1600"/>
        <w:textAlignment w:val="auto"/>
        <w:rPr>
          <w:rFonts w:ascii="楷体" w:hAnsi="楷体" w:eastAsia="楷体"/>
          <w:sz w:val="32"/>
          <w:szCs w:val="32"/>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rPr>
        <w:t>年</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rPr>
        <w:t>月</w:t>
      </w: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 xml:space="preserve"> </w:t>
      </w:r>
      <w:r>
        <w:rPr>
          <w:rFonts w:hint="eastAsia" w:ascii="楷体" w:hAnsi="楷体" w:eastAsia="楷体"/>
          <w:sz w:val="32"/>
          <w:szCs w:val="32"/>
        </w:rPr>
        <w:t>日</w:t>
      </w:r>
    </w:p>
    <w:p w14:paraId="6CEABEE4">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077" w:right="1134" w:bottom="107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134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2C01B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2C01B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24B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7D1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0DB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71E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110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22BB0"/>
    <w:multiLevelType w:val="singleLevel"/>
    <w:tmpl w:val="9E022B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62287"/>
    <w:rsid w:val="09DB3BBB"/>
    <w:rsid w:val="0C362287"/>
    <w:rsid w:val="5FB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2025-05-20T03:17:00Z</dcterms:created>
  <dc:creator>阳明拍卖</dc:creator>
  <cp:lastModifiedBy>阳明拍卖</cp:lastModifiedBy>
  <dcterms:modified xsi:type="dcterms:W3CDTF">2025-05-20T03:20:41Z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430E201BF32D44D8AF7BE9541D1042AD_11</vt:lpwstr>
  </property>
  <property fmtid="{D5CDD505-2E9C-101B-9397-08002B2CF9AE}" pid="4" name="KSOTemplateDocerSaveRecord">
    <vt:lpwstr>eyJoZGlkIjoiZDgzNTNkN2YxZmRkN2QzNzZjZTFhNzNiZDYzYzI3ZTgiLCJ1c2VySWQiOiI2NDI4NjU5NTMifQ==</vt:lpwstr>
  </property>
</Properties>
</file>