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AD1B25E">
      <w:pPr>
        <w:spacing w:line="440" w:lineRule="atLeast"/>
        <w:jc w:val="center"/>
        <w:rPr>
          <w:rFonts w:ascii="宋体" w:hAnsi="宋体"/>
          <w:b/>
          <w:bCs/>
          <w:color w:val="auto"/>
          <w:spacing w:val="60"/>
          <w:sz w:val="52"/>
          <w:szCs w:val="52"/>
        </w:rPr>
      </w:pPr>
      <w:bookmarkStart w:id="3" w:name="_GoBack"/>
      <w:bookmarkEnd w:id="3"/>
      <w:bookmarkStart w:id="0" w:name="车棚"/>
      <w:bookmarkEnd w:id="0"/>
      <w:r>
        <w:rPr>
          <w:rFonts w:hint="eastAsia" w:ascii="宋体" w:hAnsi="宋体"/>
          <w:b/>
          <w:bCs/>
          <w:color w:val="auto"/>
          <w:spacing w:val="60"/>
          <w:sz w:val="52"/>
          <w:szCs w:val="52"/>
        </w:rPr>
        <w:t>宁波阳明拍卖有限公司</w:t>
      </w:r>
    </w:p>
    <w:p w14:paraId="363FAB36">
      <w:pPr>
        <w:spacing w:line="440" w:lineRule="atLeast"/>
        <w:jc w:val="center"/>
        <w:rPr>
          <w:rFonts w:ascii="宋体" w:hAnsi="宋体"/>
          <w:b/>
          <w:color w:val="auto"/>
          <w:sz w:val="52"/>
          <w:szCs w:val="52"/>
        </w:rPr>
      </w:pPr>
    </w:p>
    <w:p w14:paraId="410C77A8">
      <w:pPr>
        <w:spacing w:before="156" w:beforeLines="50" w:after="156" w:afterLines="50" w:line="440" w:lineRule="atLeast"/>
        <w:jc w:val="center"/>
        <w:rPr>
          <w:rFonts w:ascii="宋体" w:hAnsi="宋体"/>
          <w:b/>
          <w:color w:val="auto"/>
          <w:sz w:val="52"/>
          <w:szCs w:val="52"/>
        </w:rPr>
      </w:pPr>
      <w:r>
        <w:rPr>
          <w:rFonts w:hint="eastAsia" w:ascii="宋体" w:hAnsi="宋体"/>
          <w:b/>
          <w:color w:val="auto"/>
          <w:sz w:val="52"/>
          <w:szCs w:val="52"/>
        </w:rPr>
        <w:t>拍</w:t>
      </w:r>
    </w:p>
    <w:p w14:paraId="4315F397">
      <w:pPr>
        <w:spacing w:before="156" w:beforeLines="50" w:after="156" w:afterLines="50" w:line="440" w:lineRule="atLeast"/>
        <w:jc w:val="center"/>
        <w:rPr>
          <w:rFonts w:ascii="宋体" w:hAnsi="宋体"/>
          <w:b/>
          <w:color w:val="auto"/>
          <w:sz w:val="52"/>
          <w:szCs w:val="52"/>
        </w:rPr>
      </w:pPr>
      <w:r>
        <w:rPr>
          <w:rFonts w:hint="eastAsia" w:ascii="宋体" w:hAnsi="宋体"/>
          <w:b/>
          <w:color w:val="auto"/>
          <w:sz w:val="52"/>
          <w:szCs w:val="52"/>
        </w:rPr>
        <w:t>卖</w:t>
      </w:r>
    </w:p>
    <w:p w14:paraId="701BFD27">
      <w:pPr>
        <w:spacing w:before="156" w:beforeLines="50" w:after="156" w:afterLines="50" w:line="440" w:lineRule="atLeast"/>
        <w:jc w:val="center"/>
        <w:rPr>
          <w:rFonts w:ascii="宋体" w:hAnsi="宋体"/>
          <w:b/>
          <w:color w:val="auto"/>
          <w:sz w:val="52"/>
          <w:szCs w:val="52"/>
        </w:rPr>
      </w:pPr>
      <w:r>
        <w:rPr>
          <w:rFonts w:hint="eastAsia" w:ascii="宋体" w:hAnsi="宋体"/>
          <w:b/>
          <w:color w:val="auto"/>
          <w:sz w:val="52"/>
          <w:szCs w:val="52"/>
        </w:rPr>
        <w:t>须</w:t>
      </w:r>
    </w:p>
    <w:p w14:paraId="1C0636FE">
      <w:pPr>
        <w:spacing w:before="156" w:beforeLines="50" w:after="156" w:afterLines="50" w:line="440" w:lineRule="atLeast"/>
        <w:jc w:val="center"/>
        <w:rPr>
          <w:rFonts w:ascii="宋体" w:hAnsi="宋体"/>
          <w:b/>
          <w:color w:val="auto"/>
          <w:sz w:val="52"/>
          <w:szCs w:val="52"/>
        </w:rPr>
      </w:pPr>
      <w:r>
        <w:rPr>
          <w:rFonts w:hint="eastAsia" w:ascii="宋体" w:hAnsi="宋体"/>
          <w:b/>
          <w:color w:val="auto"/>
          <w:sz w:val="52"/>
          <w:szCs w:val="52"/>
        </w:rPr>
        <w:t>知</w:t>
      </w:r>
    </w:p>
    <w:p w14:paraId="1A11E2C5">
      <w:pPr>
        <w:spacing w:line="440" w:lineRule="atLeast"/>
        <w:jc w:val="center"/>
        <w:rPr>
          <w:rFonts w:ascii="宋体" w:hAnsi="宋体"/>
          <w:b/>
          <w:bCs/>
          <w:color w:val="auto"/>
          <w:sz w:val="52"/>
          <w:szCs w:val="52"/>
          <w:u w:val="none"/>
        </w:rPr>
      </w:pPr>
    </w:p>
    <w:p w14:paraId="48BADF20">
      <w:pPr>
        <w:spacing w:line="600" w:lineRule="exact"/>
        <w:ind w:left="1927" w:leftChars="136" w:right="-107" w:rightChars="-51" w:hanging="1641" w:hangingChars="681"/>
        <w:rPr>
          <w:rFonts w:hint="eastAsia"/>
          <w:b/>
          <w:bCs/>
          <w:color w:val="auto"/>
          <w:sz w:val="24"/>
          <w:u w:val="none"/>
        </w:rPr>
      </w:pPr>
    </w:p>
    <w:p w14:paraId="20FCC0C4">
      <w:pPr>
        <w:spacing w:line="600" w:lineRule="exact"/>
        <w:ind w:left="1927" w:leftChars="136" w:right="-107" w:rightChars="-51" w:hanging="1641" w:hangingChars="681"/>
        <w:rPr>
          <w:rFonts w:ascii="宋体" w:hAnsi="宋体" w:cs="宋体"/>
          <w:color w:val="auto"/>
          <w:kern w:val="0"/>
          <w:szCs w:val="21"/>
          <w:u w:val="none"/>
        </w:rPr>
      </w:pPr>
      <w:r>
        <w:rPr>
          <w:rFonts w:hint="eastAsia"/>
          <w:b/>
          <w:bCs/>
          <w:color w:val="auto"/>
          <w:sz w:val="24"/>
          <w:u w:val="none"/>
        </w:rPr>
        <w:t>拍卖会名称</w:t>
      </w:r>
      <w:r>
        <w:rPr>
          <w:rFonts w:hint="eastAsia" w:ascii="宋体" w:hAnsi="宋体" w:cs="楷体_GB2312"/>
          <w:color w:val="auto"/>
          <w:sz w:val="24"/>
          <w:u w:val="none"/>
        </w:rPr>
        <w:t>：余姚市</w:t>
      </w:r>
      <w:r>
        <w:rPr>
          <w:rFonts w:hint="eastAsia" w:ascii="宋体" w:hAnsi="宋体" w:cs="楷体_GB2312"/>
          <w:color w:val="auto"/>
          <w:sz w:val="24"/>
          <w:u w:val="none"/>
          <w:lang w:val="en-US" w:eastAsia="zh-CN"/>
        </w:rPr>
        <w:t>住房</w:t>
      </w:r>
      <w:r>
        <w:rPr>
          <w:rFonts w:hint="eastAsia" w:ascii="宋体" w:hAnsi="宋体" w:cs="楷体_GB2312"/>
          <w:color w:val="auto"/>
          <w:sz w:val="24"/>
          <w:u w:val="none"/>
        </w:rPr>
        <w:t>保障</w:t>
      </w:r>
      <w:r>
        <w:rPr>
          <w:rFonts w:hint="eastAsia" w:ascii="宋体" w:hAnsi="宋体" w:cs="楷体_GB2312"/>
          <w:color w:val="auto"/>
          <w:sz w:val="24"/>
          <w:u w:val="none"/>
          <w:lang w:val="en-US" w:eastAsia="zh-CN"/>
        </w:rPr>
        <w:t>中心6</w:t>
      </w:r>
      <w:r>
        <w:rPr>
          <w:rFonts w:hint="eastAsia" w:ascii="宋体" w:hAnsi="宋体" w:cs="楷体_GB2312"/>
          <w:color w:val="auto"/>
          <w:sz w:val="24"/>
          <w:u w:val="none"/>
        </w:rPr>
        <w:t>处房屋租赁权</w:t>
      </w:r>
      <w:r>
        <w:rPr>
          <w:rFonts w:hint="eastAsia" w:ascii="宋体" w:hAnsi="宋体" w:cs="宋体"/>
          <w:color w:val="auto"/>
          <w:kern w:val="0"/>
          <w:sz w:val="24"/>
          <w:u w:val="none"/>
        </w:rPr>
        <w:t>网络拍卖会</w:t>
      </w:r>
    </w:p>
    <w:p w14:paraId="280B8527">
      <w:pPr>
        <w:spacing w:line="600" w:lineRule="exact"/>
        <w:ind w:left="1927" w:leftChars="136" w:right="-107" w:rightChars="-51" w:hanging="1641" w:hangingChars="681"/>
        <w:rPr>
          <w:rFonts w:ascii="宋体" w:hAnsi="宋体" w:cs="宋体"/>
          <w:color w:val="auto"/>
          <w:kern w:val="0"/>
          <w:sz w:val="24"/>
          <w:u w:val="none"/>
        </w:rPr>
      </w:pPr>
      <w:r>
        <w:rPr>
          <w:rFonts w:hint="eastAsia" w:ascii="宋体" w:hAnsi="宋体"/>
          <w:b/>
          <w:color w:val="auto"/>
          <w:sz w:val="24"/>
          <w:u w:val="none"/>
        </w:rPr>
        <w:t>拍卖标的：</w:t>
      </w:r>
      <w:r>
        <w:rPr>
          <w:rFonts w:hint="eastAsia" w:ascii="宋体" w:hAnsi="宋体" w:cs="楷体_GB2312"/>
          <w:color w:val="auto"/>
          <w:sz w:val="24"/>
          <w:u w:val="none"/>
        </w:rPr>
        <w:t>余姚市</w:t>
      </w:r>
      <w:r>
        <w:rPr>
          <w:rFonts w:hint="eastAsia" w:ascii="宋体" w:hAnsi="宋体" w:cs="楷体_GB2312"/>
          <w:color w:val="auto"/>
          <w:sz w:val="24"/>
          <w:u w:val="none"/>
          <w:lang w:val="en-US" w:eastAsia="zh-CN"/>
        </w:rPr>
        <w:t>住房</w:t>
      </w:r>
      <w:r>
        <w:rPr>
          <w:rFonts w:hint="eastAsia" w:ascii="宋体" w:hAnsi="宋体" w:cs="楷体_GB2312"/>
          <w:color w:val="auto"/>
          <w:sz w:val="24"/>
          <w:u w:val="none"/>
        </w:rPr>
        <w:t>保障</w:t>
      </w:r>
      <w:r>
        <w:rPr>
          <w:rFonts w:hint="eastAsia" w:ascii="宋体" w:hAnsi="宋体" w:cs="楷体_GB2312"/>
          <w:color w:val="auto"/>
          <w:sz w:val="24"/>
          <w:u w:val="none"/>
          <w:lang w:val="en-US" w:eastAsia="zh-CN"/>
        </w:rPr>
        <w:t>中心</w:t>
      </w:r>
      <w:r>
        <w:rPr>
          <w:rFonts w:hint="eastAsia" w:ascii="宋体" w:hAnsi="宋体" w:cs="Times New Roman"/>
          <w:color w:val="auto"/>
          <w:kern w:val="0"/>
          <w:sz w:val="24"/>
          <w:szCs w:val="24"/>
          <w:u w:val="none"/>
          <w:lang w:val="en-US" w:eastAsia="zh-CN" w:bidi="ar-SA"/>
        </w:rPr>
        <w:t>6</w:t>
      </w:r>
      <w:r>
        <w:rPr>
          <w:rFonts w:hint="eastAsia" w:ascii="宋体" w:hAnsi="宋体" w:eastAsia="宋体" w:cs="Times New Roman"/>
          <w:color w:val="auto"/>
          <w:kern w:val="0"/>
          <w:sz w:val="24"/>
          <w:szCs w:val="24"/>
          <w:u w:val="none"/>
          <w:lang w:val="en-US" w:eastAsia="zh-CN" w:bidi="ar-SA"/>
        </w:rPr>
        <w:t>处房屋</w:t>
      </w:r>
      <w:r>
        <w:rPr>
          <w:rFonts w:hint="eastAsia" w:ascii="宋体" w:hAnsi="宋体" w:cs="Times New Roman"/>
          <w:color w:val="auto"/>
          <w:kern w:val="0"/>
          <w:sz w:val="24"/>
          <w:szCs w:val="24"/>
          <w:u w:val="none"/>
          <w:lang w:val="en-US" w:eastAsia="zh-CN" w:bidi="ar-SA"/>
        </w:rPr>
        <w:t>5年的</w:t>
      </w:r>
      <w:r>
        <w:rPr>
          <w:rFonts w:hint="eastAsia" w:ascii="宋体" w:hAnsi="宋体" w:eastAsia="宋体" w:cs="Times New Roman"/>
          <w:color w:val="auto"/>
          <w:kern w:val="0"/>
          <w:sz w:val="24"/>
          <w:szCs w:val="24"/>
          <w:u w:val="none"/>
          <w:lang w:val="en-US" w:eastAsia="zh-CN" w:bidi="ar-SA"/>
        </w:rPr>
        <w:t>租赁权</w:t>
      </w:r>
    </w:p>
    <w:p w14:paraId="412FEF88">
      <w:pPr>
        <w:spacing w:after="93" w:afterLines="30" w:line="500" w:lineRule="exact"/>
        <w:ind w:firstLine="284" w:firstLineChars="118"/>
        <w:rPr>
          <w:rFonts w:ascii="宋体" w:hAnsi="宋体" w:cs="宋体"/>
          <w:b/>
          <w:color w:val="auto"/>
          <w:kern w:val="0"/>
          <w:sz w:val="24"/>
          <w:u w:val="none"/>
        </w:rPr>
      </w:pPr>
      <w:r>
        <w:rPr>
          <w:rFonts w:hint="eastAsia" w:ascii="宋体" w:hAnsi="宋体" w:cs="宋体"/>
          <w:b/>
          <w:color w:val="auto"/>
          <w:kern w:val="0"/>
          <w:sz w:val="24"/>
          <w:u w:val="none"/>
        </w:rPr>
        <w:t>拍卖时间：</w:t>
      </w:r>
      <w:r>
        <w:rPr>
          <w:rFonts w:hint="eastAsia" w:ascii="宋体" w:hAnsi="宋体" w:cs="宋体"/>
          <w:color w:val="auto"/>
          <w:kern w:val="0"/>
          <w:sz w:val="24"/>
          <w:szCs w:val="24"/>
          <w:u w:val="none"/>
          <w:lang w:val="en-US" w:eastAsia="zh-CN"/>
        </w:rPr>
        <w:t>2025</w:t>
      </w:r>
      <w:r>
        <w:rPr>
          <w:rFonts w:hint="eastAsia" w:ascii="宋体" w:hAnsi="宋体" w:cs="宋体"/>
          <w:color w:val="auto"/>
          <w:kern w:val="0"/>
          <w:sz w:val="24"/>
          <w:szCs w:val="24"/>
          <w:u w:val="none"/>
        </w:rPr>
        <w:t>年</w:t>
      </w:r>
      <w:r>
        <w:rPr>
          <w:rFonts w:hint="eastAsia" w:ascii="宋体" w:hAnsi="宋体" w:cs="宋体"/>
          <w:color w:val="auto"/>
          <w:kern w:val="0"/>
          <w:sz w:val="24"/>
          <w:szCs w:val="24"/>
          <w:u w:val="none"/>
          <w:lang w:val="en-US" w:eastAsia="zh-CN"/>
        </w:rPr>
        <w:t>4</w:t>
      </w:r>
      <w:r>
        <w:rPr>
          <w:rFonts w:hint="eastAsia" w:ascii="宋体" w:hAnsi="宋体" w:cs="宋体"/>
          <w:color w:val="auto"/>
          <w:kern w:val="0"/>
          <w:sz w:val="24"/>
          <w:szCs w:val="24"/>
          <w:u w:val="none"/>
        </w:rPr>
        <w:t>月</w:t>
      </w:r>
      <w:r>
        <w:rPr>
          <w:rFonts w:hint="eastAsia" w:ascii="宋体" w:hAnsi="宋体" w:cs="宋体"/>
          <w:color w:val="auto"/>
          <w:kern w:val="0"/>
          <w:sz w:val="24"/>
          <w:szCs w:val="24"/>
          <w:u w:val="none"/>
          <w:lang w:val="en-US" w:eastAsia="zh-CN"/>
        </w:rPr>
        <w:t>16</w:t>
      </w:r>
      <w:r>
        <w:rPr>
          <w:rFonts w:hint="eastAsia" w:ascii="宋体" w:hAnsi="宋体" w:cs="宋体"/>
          <w:color w:val="auto"/>
          <w:kern w:val="0"/>
          <w:sz w:val="24"/>
          <w:u w:val="none"/>
        </w:rPr>
        <w:t>日上午</w:t>
      </w:r>
      <w:r>
        <w:rPr>
          <w:rFonts w:ascii="宋体" w:hAnsi="宋体" w:cs="宋体"/>
          <w:color w:val="auto"/>
          <w:kern w:val="0"/>
          <w:sz w:val="24"/>
          <w:u w:val="none"/>
        </w:rPr>
        <w:t>9</w:t>
      </w:r>
      <w:r>
        <w:rPr>
          <w:rFonts w:hint="eastAsia" w:ascii="宋体" w:hAnsi="宋体" w:cs="宋体"/>
          <w:color w:val="auto"/>
          <w:kern w:val="0"/>
          <w:sz w:val="24"/>
          <w:u w:val="none"/>
        </w:rPr>
        <w:t>:</w:t>
      </w:r>
      <w:r>
        <w:rPr>
          <w:rFonts w:hint="eastAsia" w:ascii="宋体" w:hAnsi="宋体" w:cs="宋体"/>
          <w:color w:val="auto"/>
          <w:kern w:val="0"/>
          <w:sz w:val="24"/>
          <w:u w:val="none"/>
          <w:lang w:val="en-US" w:eastAsia="zh-CN"/>
        </w:rPr>
        <w:t>3</w:t>
      </w:r>
      <w:r>
        <w:rPr>
          <w:rFonts w:hint="eastAsia" w:ascii="宋体" w:hAnsi="宋体" w:cs="宋体"/>
          <w:color w:val="auto"/>
          <w:kern w:val="0"/>
          <w:sz w:val="24"/>
          <w:u w:val="none"/>
        </w:rPr>
        <w:t>0—</w:t>
      </w:r>
      <w:r>
        <w:rPr>
          <w:rFonts w:hint="eastAsia" w:ascii="宋体" w:hAnsi="宋体" w:cs="宋体"/>
          <w:color w:val="auto"/>
          <w:kern w:val="0"/>
          <w:sz w:val="24"/>
          <w:u w:val="none"/>
          <w:lang w:val="en-US" w:eastAsia="zh-CN"/>
        </w:rPr>
        <w:t>10</w:t>
      </w:r>
      <w:r>
        <w:rPr>
          <w:rFonts w:hint="eastAsia" w:ascii="宋体" w:hAnsi="宋体" w:cs="宋体"/>
          <w:color w:val="auto"/>
          <w:kern w:val="0"/>
          <w:sz w:val="24"/>
          <w:u w:val="none"/>
        </w:rPr>
        <w:t>:</w:t>
      </w:r>
      <w:r>
        <w:rPr>
          <w:rFonts w:hint="eastAsia" w:ascii="宋体" w:hAnsi="宋体" w:cs="宋体"/>
          <w:color w:val="auto"/>
          <w:kern w:val="0"/>
          <w:sz w:val="24"/>
          <w:u w:val="none"/>
          <w:lang w:val="en-US" w:eastAsia="zh-CN"/>
        </w:rPr>
        <w:t>0</w:t>
      </w:r>
      <w:r>
        <w:rPr>
          <w:rFonts w:hint="eastAsia" w:ascii="宋体" w:hAnsi="宋体" w:cs="宋体"/>
          <w:color w:val="auto"/>
          <w:kern w:val="0"/>
          <w:sz w:val="24"/>
          <w:u w:val="none"/>
        </w:rPr>
        <w:t>0</w:t>
      </w:r>
      <w:r>
        <w:rPr>
          <w:rFonts w:ascii="宋体" w:hAnsi="宋体" w:cs="宋体"/>
          <w:color w:val="auto"/>
          <w:kern w:val="0"/>
          <w:sz w:val="24"/>
          <w:u w:val="none"/>
        </w:rPr>
        <w:t>（延时除外）</w:t>
      </w:r>
    </w:p>
    <w:p w14:paraId="76C8CDFC">
      <w:pPr>
        <w:spacing w:after="93" w:afterLines="30" w:line="500" w:lineRule="exact"/>
        <w:ind w:firstLine="284" w:firstLineChars="118"/>
        <w:rPr>
          <w:rFonts w:ascii="宋体" w:hAnsi="宋体" w:cs="宋体"/>
          <w:color w:val="auto"/>
          <w:kern w:val="0"/>
          <w:sz w:val="24"/>
          <w:u w:val="none"/>
        </w:rPr>
      </w:pPr>
      <w:r>
        <w:rPr>
          <w:rFonts w:hint="eastAsia" w:ascii="宋体" w:hAnsi="宋体" w:cs="宋体"/>
          <w:b/>
          <w:color w:val="auto"/>
          <w:kern w:val="0"/>
          <w:sz w:val="24"/>
          <w:u w:val="none"/>
        </w:rPr>
        <w:t>拍卖方式：</w:t>
      </w:r>
      <w:r>
        <w:rPr>
          <w:rFonts w:hint="eastAsia" w:ascii="宋体" w:hAnsi="宋体" w:cs="宋体"/>
          <w:bCs/>
          <w:color w:val="auto"/>
          <w:kern w:val="0"/>
          <w:sz w:val="24"/>
          <w:u w:val="none"/>
        </w:rPr>
        <w:t>网络拍卖</w:t>
      </w:r>
    </w:p>
    <w:p w14:paraId="6FC99357">
      <w:pPr>
        <w:spacing w:after="93" w:afterLines="30" w:line="500" w:lineRule="exact"/>
        <w:rPr>
          <w:rFonts w:ascii="宋体" w:hAnsi="宋体" w:cs="宋体"/>
          <w:b/>
          <w:color w:val="auto"/>
          <w:kern w:val="0"/>
          <w:sz w:val="24"/>
          <w:u w:val="none"/>
        </w:rPr>
      </w:pPr>
    </w:p>
    <w:p w14:paraId="2F0C1918">
      <w:pPr>
        <w:spacing w:after="93" w:afterLines="30" w:line="500" w:lineRule="exact"/>
        <w:ind w:firstLine="283" w:firstLineChars="118"/>
        <w:rPr>
          <w:rFonts w:ascii="宋体" w:hAnsi="宋体"/>
          <w:color w:val="auto"/>
          <w:sz w:val="24"/>
          <w:u w:val="none"/>
        </w:rPr>
      </w:pPr>
    </w:p>
    <w:p w14:paraId="76E354FF">
      <w:pPr>
        <w:spacing w:after="93" w:afterLines="30" w:line="500" w:lineRule="exact"/>
        <w:rPr>
          <w:rFonts w:ascii="宋体" w:hAnsi="宋体"/>
          <w:color w:val="auto"/>
          <w:sz w:val="24"/>
          <w:u w:val="none"/>
        </w:rPr>
      </w:pPr>
    </w:p>
    <w:p w14:paraId="27953180">
      <w:pPr>
        <w:spacing w:after="93" w:afterLines="30" w:line="500" w:lineRule="exact"/>
        <w:ind w:firstLine="283" w:firstLineChars="118"/>
        <w:rPr>
          <w:rFonts w:hint="eastAsia" w:ascii="宋体" w:hAnsi="宋体" w:cs="宋体"/>
          <w:bCs/>
          <w:color w:val="auto"/>
          <w:kern w:val="0"/>
          <w:sz w:val="24"/>
          <w:u w:val="none"/>
          <w:lang w:eastAsia="zh-CN"/>
        </w:rPr>
      </w:pPr>
      <w:r>
        <w:rPr>
          <w:rFonts w:hint="eastAsia" w:ascii="宋体" w:hAnsi="宋体" w:cs="宋体"/>
          <w:bCs/>
          <w:color w:val="auto"/>
          <w:kern w:val="0"/>
          <w:sz w:val="24"/>
          <w:u w:val="none"/>
        </w:rPr>
        <w:t>公司地址：</w:t>
      </w:r>
      <w:r>
        <w:rPr>
          <w:rFonts w:hint="eastAsia" w:ascii="宋体" w:hAnsi="宋体" w:cs="宋体"/>
          <w:bCs/>
          <w:color w:val="auto"/>
          <w:kern w:val="0"/>
          <w:sz w:val="24"/>
          <w:u w:val="none"/>
          <w:lang w:eastAsia="zh-CN"/>
        </w:rPr>
        <w:t>余姚市谭家岭东路2号南雷大厦29楼</w:t>
      </w:r>
    </w:p>
    <w:p w14:paraId="57955DB8">
      <w:pPr>
        <w:spacing w:after="93" w:afterLines="30" w:line="500" w:lineRule="exact"/>
        <w:ind w:firstLine="283" w:firstLineChars="118"/>
        <w:rPr>
          <w:rFonts w:hint="eastAsia" w:ascii="宋体" w:hAnsi="宋体" w:cs="宋体"/>
          <w:bCs/>
          <w:color w:val="auto"/>
          <w:kern w:val="0"/>
          <w:sz w:val="24"/>
          <w:u w:val="none"/>
        </w:rPr>
      </w:pPr>
      <w:r>
        <w:rPr>
          <w:rFonts w:hint="eastAsia" w:ascii="宋体" w:hAnsi="宋体" w:cs="宋体"/>
          <w:bCs/>
          <w:color w:val="auto"/>
          <w:kern w:val="0"/>
          <w:sz w:val="24"/>
          <w:u w:val="none"/>
        </w:rPr>
        <w:t>公司电话：0574-</w:t>
      </w:r>
      <w:r>
        <w:rPr>
          <w:rFonts w:hint="eastAsia" w:ascii="宋体" w:hAnsi="宋体" w:cs="宋体"/>
          <w:bCs/>
          <w:color w:val="auto"/>
          <w:kern w:val="0"/>
          <w:sz w:val="24"/>
          <w:u w:val="none"/>
          <w:lang w:eastAsia="zh-CN"/>
        </w:rPr>
        <w:t>6265</w:t>
      </w:r>
      <w:r>
        <w:rPr>
          <w:rFonts w:hint="eastAsia" w:ascii="宋体" w:hAnsi="宋体" w:cs="宋体"/>
          <w:bCs/>
          <w:color w:val="auto"/>
          <w:kern w:val="0"/>
          <w:sz w:val="24"/>
          <w:u w:val="none"/>
          <w:lang w:val="en-US" w:eastAsia="zh-CN"/>
        </w:rPr>
        <w:t>0662</w:t>
      </w:r>
      <w:r>
        <w:rPr>
          <w:rFonts w:hint="eastAsia" w:ascii="宋体" w:hAnsi="宋体" w:cs="宋体"/>
          <w:bCs/>
          <w:color w:val="auto"/>
          <w:kern w:val="0"/>
          <w:sz w:val="24"/>
          <w:u w:val="none"/>
        </w:rPr>
        <w:t>、62724638       传真：0574-62651961</w:t>
      </w:r>
    </w:p>
    <w:p w14:paraId="68C4B5E2">
      <w:pPr>
        <w:spacing w:line="420" w:lineRule="exact"/>
        <w:jc w:val="center"/>
        <w:rPr>
          <w:rFonts w:ascii="宋体" w:hAnsi="宋体"/>
          <w:b/>
          <w:color w:val="auto"/>
          <w:sz w:val="44"/>
          <w:szCs w:val="44"/>
          <w:u w:val="none"/>
        </w:rPr>
      </w:pPr>
    </w:p>
    <w:p w14:paraId="1834F82F">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宋体" w:hAnsi="宋体"/>
          <w:b/>
          <w:color w:val="auto"/>
          <w:sz w:val="44"/>
          <w:szCs w:val="44"/>
          <w:u w:val="none"/>
        </w:rPr>
      </w:pPr>
      <w:r>
        <w:rPr>
          <w:rFonts w:hint="eastAsia" w:ascii="宋体" w:hAnsi="宋体"/>
          <w:b/>
          <w:color w:val="auto"/>
          <w:sz w:val="44"/>
          <w:szCs w:val="44"/>
          <w:u w:val="none"/>
        </w:rPr>
        <w:t>拍  卖  须  知</w:t>
      </w:r>
    </w:p>
    <w:p w14:paraId="3C05DA20">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ascii="宋体" w:hAnsi="宋体"/>
          <w:b/>
          <w:color w:val="auto"/>
          <w:sz w:val="28"/>
          <w:szCs w:val="28"/>
          <w:u w:val="none"/>
        </w:rPr>
      </w:pPr>
      <w:r>
        <w:rPr>
          <w:rFonts w:hint="eastAsia" w:ascii="宋体" w:hAnsi="宋体"/>
          <w:b/>
          <w:color w:val="auto"/>
          <w:sz w:val="28"/>
          <w:szCs w:val="28"/>
          <w:u w:val="none"/>
        </w:rPr>
        <w:t>总 则</w:t>
      </w:r>
    </w:p>
    <w:p w14:paraId="45030497">
      <w:pPr>
        <w:keepNext w:val="0"/>
        <w:keepLines w:val="0"/>
        <w:pageBreakBefore w:val="0"/>
        <w:widowControl w:val="0"/>
        <w:kinsoku/>
        <w:wordWrap/>
        <w:overflowPunct/>
        <w:topLinePunct w:val="0"/>
        <w:autoSpaceDE/>
        <w:autoSpaceDN/>
        <w:bidi w:val="0"/>
        <w:adjustRightInd/>
        <w:snapToGrid/>
        <w:spacing w:line="460" w:lineRule="exact"/>
        <w:ind w:firstLine="470" w:firstLineChars="195"/>
        <w:textAlignment w:val="auto"/>
        <w:rPr>
          <w:rFonts w:ascii="宋体" w:hAnsi="宋体"/>
          <w:color w:val="auto"/>
          <w:sz w:val="24"/>
          <w:u w:val="none"/>
        </w:rPr>
      </w:pPr>
      <w:r>
        <w:rPr>
          <w:rFonts w:hint="eastAsia" w:ascii="宋体" w:hAnsi="宋体"/>
          <w:b/>
          <w:color w:val="auto"/>
          <w:sz w:val="24"/>
          <w:u w:val="none"/>
        </w:rPr>
        <w:t>第一条</w:t>
      </w:r>
      <w:r>
        <w:rPr>
          <w:rFonts w:hint="eastAsia" w:ascii="宋体" w:hAnsi="宋体"/>
          <w:color w:val="auto"/>
          <w:sz w:val="24"/>
          <w:u w:val="none"/>
        </w:rPr>
        <w:t xml:space="preserve">  本《拍卖须知》根据《中华人民共和国拍卖法》及相关</w:t>
      </w:r>
      <w:r>
        <w:rPr>
          <w:rFonts w:hint="eastAsia" w:ascii="宋体" w:hAnsi="宋体"/>
          <w:color w:val="auto"/>
          <w:sz w:val="24"/>
          <w:u w:val="none"/>
          <w:lang w:eastAsia="zh-CN"/>
        </w:rPr>
        <w:t>法律法规</w:t>
      </w:r>
      <w:r>
        <w:rPr>
          <w:rFonts w:hint="eastAsia" w:ascii="宋体" w:hAnsi="宋体"/>
          <w:color w:val="auto"/>
          <w:sz w:val="24"/>
          <w:u w:val="none"/>
        </w:rPr>
        <w:t>、规章，参照国际通行惯例制定。</w:t>
      </w:r>
    </w:p>
    <w:p w14:paraId="718DDF0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olor w:val="auto"/>
          <w:sz w:val="24"/>
          <w:u w:val="none"/>
        </w:rPr>
      </w:pPr>
      <w:r>
        <w:rPr>
          <w:rFonts w:hint="eastAsia" w:ascii="宋体" w:hAnsi="宋体"/>
          <w:b/>
          <w:color w:val="auto"/>
          <w:sz w:val="24"/>
          <w:u w:val="none"/>
        </w:rPr>
        <w:t>第二条</w:t>
      </w:r>
      <w:r>
        <w:rPr>
          <w:rFonts w:hint="eastAsia" w:ascii="宋体" w:hAnsi="宋体"/>
          <w:color w:val="auto"/>
          <w:sz w:val="24"/>
          <w:u w:val="none"/>
        </w:rPr>
        <w:t xml:space="preserve">  宁波阳明拍卖有限公司（以下简称“拍卖人”）将依法组织和开展拍卖活动，参加拍卖活动的竞买人必须仔细阅读并遵守本《拍卖须知》</w:t>
      </w:r>
      <w:r>
        <w:rPr>
          <w:rFonts w:hint="eastAsia" w:ascii="宋体" w:hAnsi="宋体"/>
          <w:color w:val="auto"/>
          <w:sz w:val="24"/>
          <w:u w:val="none"/>
          <w:lang w:eastAsia="zh-CN"/>
        </w:rPr>
        <w:t>及其他相关</w:t>
      </w:r>
      <w:r>
        <w:rPr>
          <w:rFonts w:hint="eastAsia" w:ascii="宋体" w:hAnsi="宋体"/>
          <w:color w:val="auto"/>
          <w:sz w:val="24"/>
          <w:u w:val="none"/>
        </w:rPr>
        <w:t>文件，并对自己执行本《拍卖须知》的行为负责。</w:t>
      </w:r>
    </w:p>
    <w:p w14:paraId="20BE130C">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color w:val="auto"/>
          <w:sz w:val="24"/>
          <w:u w:val="none"/>
        </w:rPr>
      </w:pPr>
      <w:r>
        <w:rPr>
          <w:rFonts w:hint="eastAsia" w:ascii="宋体" w:hAnsi="宋体"/>
          <w:b/>
          <w:color w:val="auto"/>
          <w:sz w:val="24"/>
          <w:u w:val="none"/>
        </w:rPr>
        <w:t xml:space="preserve">第三条  </w:t>
      </w:r>
      <w:r>
        <w:rPr>
          <w:rFonts w:hint="eastAsia" w:ascii="宋体" w:hAnsi="宋体"/>
          <w:color w:val="auto"/>
          <w:sz w:val="24"/>
          <w:u w:val="none"/>
        </w:rPr>
        <w:t>拍卖人有权在本《拍卖须知》的基础上，根据公开、公平、公正、诚实信用的原则解释和处理本《拍卖须知》以外的特殊问题和未尽事宜。</w:t>
      </w:r>
    </w:p>
    <w:p w14:paraId="3199289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157" w:afterLines="50" w:line="440" w:lineRule="exact"/>
        <w:ind w:firstLine="482" w:firstLineChars="200"/>
        <w:jc w:val="left"/>
        <w:textAlignment w:val="auto"/>
        <w:rPr>
          <w:rFonts w:hint="eastAsia" w:ascii="宋体" w:hAnsi="宋体" w:eastAsia="宋体" w:cs="宋体"/>
          <w:kern w:val="0"/>
          <w:sz w:val="24"/>
          <w:lang w:val="en-US" w:eastAsia="zh-CN"/>
        </w:rPr>
      </w:pPr>
      <w:r>
        <w:rPr>
          <w:rFonts w:hint="eastAsia" w:ascii="宋体" w:hAnsi="宋体"/>
          <w:b/>
          <w:color w:val="auto"/>
          <w:sz w:val="24"/>
          <w:u w:val="none"/>
          <w:lang w:val="en-US" w:eastAsia="zh-CN"/>
        </w:rPr>
        <w:t xml:space="preserve">第四条  </w:t>
      </w:r>
      <w:r>
        <w:rPr>
          <w:rFonts w:hint="eastAsia" w:ascii="宋体" w:hAnsi="宋体"/>
          <w:b/>
          <w:color w:val="auto"/>
          <w:sz w:val="24"/>
          <w:u w:val="none"/>
        </w:rPr>
        <w:t>拍卖标的</w:t>
      </w:r>
    </w:p>
    <w:tbl>
      <w:tblPr>
        <w:tblStyle w:val="8"/>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680"/>
        <w:gridCol w:w="1110"/>
        <w:gridCol w:w="1035"/>
        <w:gridCol w:w="1200"/>
        <w:gridCol w:w="1350"/>
      </w:tblGrid>
      <w:tr w14:paraId="6376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519C32A2">
            <w:pPr>
              <w:keepNext w:val="0"/>
              <w:keepLines w:val="0"/>
              <w:pageBreakBefore w:val="0"/>
              <w:widowControl w:val="0"/>
              <w:kinsoku/>
              <w:wordWrap/>
              <w:overflowPunct/>
              <w:topLinePunct w:val="0"/>
              <w:autoSpaceDE/>
              <w:autoSpaceDN/>
              <w:bidi w:val="0"/>
              <w:adjustRightInd/>
              <w:snapToGrid/>
              <w:spacing w:line="320" w:lineRule="exact"/>
              <w:ind w:left="-134" w:leftChars="-64" w:right="-107" w:rightChars="-51"/>
              <w:jc w:val="center"/>
              <w:textAlignment w:val="auto"/>
              <w:rPr>
                <w:rFonts w:hint="eastAsia" w:ascii="宋体" w:hAnsi="宋体" w:eastAsia="宋体"/>
                <w:b/>
                <w:sz w:val="21"/>
                <w:szCs w:val="21"/>
                <w:lang w:eastAsia="zh-CN"/>
              </w:rPr>
            </w:pPr>
            <w:r>
              <w:rPr>
                <w:rFonts w:hint="eastAsia" w:ascii="宋体" w:hAnsi="宋体"/>
                <w:b/>
                <w:sz w:val="21"/>
                <w:szCs w:val="21"/>
              </w:rPr>
              <w:t>标</w:t>
            </w:r>
            <w:r>
              <w:rPr>
                <w:rFonts w:hint="eastAsia" w:ascii="宋体" w:hAnsi="宋体"/>
                <w:b/>
                <w:sz w:val="21"/>
                <w:szCs w:val="21"/>
                <w:lang w:val="en-US" w:eastAsia="zh-CN"/>
              </w:rPr>
              <w:t xml:space="preserve"> </w:t>
            </w:r>
            <w:r>
              <w:rPr>
                <w:rFonts w:hint="eastAsia" w:ascii="宋体" w:hAnsi="宋体"/>
                <w:b/>
                <w:sz w:val="21"/>
                <w:szCs w:val="21"/>
              </w:rPr>
              <w:t>的</w:t>
            </w:r>
          </w:p>
        </w:tc>
        <w:tc>
          <w:tcPr>
            <w:tcW w:w="3680" w:type="dxa"/>
            <w:tcBorders>
              <w:top w:val="single" w:color="auto" w:sz="4" w:space="0"/>
              <w:left w:val="single" w:color="auto" w:sz="4" w:space="0"/>
              <w:bottom w:val="single" w:color="auto" w:sz="4" w:space="0"/>
              <w:right w:val="single" w:color="auto" w:sz="4" w:space="0"/>
            </w:tcBorders>
            <w:noWrap w:val="0"/>
            <w:vAlign w:val="center"/>
          </w:tcPr>
          <w:p w14:paraId="1B285D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坐</w:t>
            </w:r>
            <w:r>
              <w:rPr>
                <w:rFonts w:hint="eastAsia" w:ascii="宋体" w:hAnsi="宋体" w:cs="宋体"/>
                <w:b/>
                <w:bCs/>
                <w:kern w:val="0"/>
                <w:sz w:val="21"/>
                <w:szCs w:val="21"/>
                <w:lang w:val="en-US" w:eastAsia="zh-CN"/>
              </w:rPr>
              <w:t xml:space="preserve">   </w:t>
            </w:r>
            <w:r>
              <w:rPr>
                <w:rFonts w:hint="eastAsia" w:ascii="宋体" w:hAnsi="宋体" w:cs="宋体"/>
                <w:b/>
                <w:bCs/>
                <w:kern w:val="0"/>
                <w:sz w:val="21"/>
                <w:szCs w:val="21"/>
                <w:lang w:eastAsia="zh-CN"/>
              </w:rPr>
              <w:t>落</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65F0BF8">
            <w:pPr>
              <w:keepNext w:val="0"/>
              <w:keepLines w:val="0"/>
              <w:pageBreakBefore w:val="0"/>
              <w:widowControl w:val="0"/>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cs="宋体"/>
                <w:b/>
                <w:bCs/>
                <w:kern w:val="0"/>
                <w:sz w:val="21"/>
                <w:szCs w:val="21"/>
              </w:rPr>
            </w:pPr>
            <w:r>
              <w:rPr>
                <w:rFonts w:hint="eastAsia" w:ascii="宋体" w:hAnsi="宋体" w:cs="宋体"/>
                <w:b/>
                <w:bCs/>
                <w:kern w:val="0"/>
                <w:sz w:val="21"/>
                <w:szCs w:val="21"/>
              </w:rPr>
              <w:t>出租面积</w:t>
            </w:r>
          </w:p>
          <w:p w14:paraId="2F379B28">
            <w:pPr>
              <w:keepNext w:val="0"/>
              <w:keepLines w:val="0"/>
              <w:pageBreakBefore w:val="0"/>
              <w:widowControl w:val="0"/>
              <w:kinsoku/>
              <w:wordWrap/>
              <w:overflowPunct/>
              <w:topLinePunct w:val="0"/>
              <w:autoSpaceDE/>
              <w:autoSpaceDN/>
              <w:bidi w:val="0"/>
              <w:adjustRightInd/>
              <w:snapToGrid/>
              <w:spacing w:line="320" w:lineRule="exact"/>
              <w:ind w:left="-107" w:leftChars="-51" w:right="-107" w:rightChars="-51"/>
              <w:jc w:val="center"/>
              <w:textAlignment w:val="auto"/>
              <w:rPr>
                <w:rFonts w:ascii="宋体" w:hAnsi="宋体" w:cs="宋体"/>
                <w:b/>
                <w:bCs/>
                <w:kern w:val="0"/>
                <w:sz w:val="21"/>
                <w:szCs w:val="21"/>
              </w:rPr>
            </w:pPr>
            <w:r>
              <w:rPr>
                <w:rFonts w:hint="eastAsia" w:ascii="宋体" w:hAnsi="宋体" w:cs="宋体"/>
                <w:b/>
                <w:bCs/>
                <w:kern w:val="0"/>
                <w:sz w:val="21"/>
                <w:szCs w:val="21"/>
              </w:rPr>
              <w:t>（平方米）</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557DCAE">
            <w:pPr>
              <w:keepNext w:val="0"/>
              <w:keepLines w:val="0"/>
              <w:pageBreakBefore w:val="0"/>
              <w:widowControl w:val="0"/>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cs="宋体"/>
                <w:b/>
                <w:bCs/>
                <w:kern w:val="0"/>
                <w:sz w:val="21"/>
                <w:szCs w:val="21"/>
                <w:lang w:eastAsia="zh-CN"/>
              </w:rPr>
            </w:pPr>
            <w:r>
              <w:rPr>
                <w:rFonts w:hint="eastAsia" w:ascii="宋体" w:hAnsi="宋体" w:cs="宋体"/>
                <w:b/>
                <w:bCs/>
                <w:kern w:val="0"/>
                <w:sz w:val="21"/>
                <w:szCs w:val="21"/>
                <w:lang w:eastAsia="zh-CN"/>
              </w:rPr>
              <w:t>出租年限</w:t>
            </w:r>
          </w:p>
          <w:p w14:paraId="7A266718">
            <w:pPr>
              <w:keepNext w:val="0"/>
              <w:keepLines w:val="0"/>
              <w:pageBreakBefore w:val="0"/>
              <w:widowControl w:val="0"/>
              <w:kinsoku/>
              <w:wordWrap/>
              <w:overflowPunct/>
              <w:topLinePunct w:val="0"/>
              <w:autoSpaceDE/>
              <w:autoSpaceDN/>
              <w:bidi w:val="0"/>
              <w:adjustRightInd/>
              <w:snapToGrid/>
              <w:spacing w:line="320" w:lineRule="exact"/>
              <w:ind w:left="-107" w:leftChars="-51" w:right="-107" w:rightChars="-51"/>
              <w:jc w:val="center"/>
              <w:textAlignment w:val="auto"/>
              <w:rPr>
                <w:rFonts w:hint="eastAsia" w:ascii="宋体" w:hAnsi="宋体" w:cs="宋体"/>
                <w:b/>
                <w:bCs/>
                <w:kern w:val="0"/>
                <w:sz w:val="21"/>
                <w:szCs w:val="21"/>
                <w:lang w:eastAsia="zh-CN"/>
              </w:rPr>
            </w:pPr>
            <w:r>
              <w:rPr>
                <w:rFonts w:hint="eastAsia" w:ascii="宋体" w:hAnsi="宋体" w:cs="宋体"/>
                <w:b/>
                <w:bCs/>
                <w:kern w:val="0"/>
                <w:sz w:val="21"/>
                <w:szCs w:val="21"/>
                <w:lang w:eastAsia="zh-CN"/>
              </w:rPr>
              <w:t>（年）</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CBD41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kern w:val="0"/>
                <w:sz w:val="21"/>
                <w:szCs w:val="21"/>
              </w:rPr>
            </w:pPr>
            <w:r>
              <w:rPr>
                <w:rFonts w:hint="eastAsia" w:ascii="宋体" w:hAnsi="宋体" w:cs="宋体"/>
                <w:b/>
                <w:bCs/>
                <w:kern w:val="0"/>
                <w:sz w:val="21"/>
                <w:szCs w:val="21"/>
              </w:rPr>
              <w:t>起拍价</w:t>
            </w:r>
          </w:p>
          <w:p w14:paraId="539E2B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(元/年）</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EAB5F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竞买保证金（元）</w:t>
            </w:r>
          </w:p>
        </w:tc>
      </w:tr>
      <w:tr w14:paraId="027C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11F1A0D1">
            <w:pPr>
              <w:keepNext w:val="0"/>
              <w:keepLines w:val="0"/>
              <w:pageBreakBefore w:val="0"/>
              <w:widowControl w:val="0"/>
              <w:kinsoku/>
              <w:wordWrap/>
              <w:overflowPunct/>
              <w:topLinePunct w:val="0"/>
              <w:autoSpaceDE/>
              <w:autoSpaceDN/>
              <w:bidi w:val="0"/>
              <w:adjustRightInd/>
              <w:snapToGrid/>
              <w:spacing w:line="400" w:lineRule="exact"/>
              <w:ind w:left="-179" w:leftChars="-86" w:right="-141" w:rightChars="-67" w:hanging="2" w:hangingChars="1"/>
              <w:jc w:val="center"/>
              <w:textAlignment w:val="auto"/>
              <w:rPr>
                <w:rFonts w:hint="eastAsia" w:ascii="Times New Roman" w:hAnsi="Times New Roman" w:cs="Times New Roman"/>
                <w:b/>
                <w:sz w:val="18"/>
                <w:szCs w:val="18"/>
              </w:rPr>
            </w:pPr>
            <w:r>
              <w:rPr>
                <w:rFonts w:hint="eastAsia" w:ascii="Times New Roman" w:hAnsi="Times New Roman" w:cs="Times New Roman"/>
                <w:b/>
                <w:sz w:val="18"/>
                <w:szCs w:val="18"/>
              </w:rPr>
              <w:t>1</w:t>
            </w:r>
          </w:p>
        </w:tc>
        <w:tc>
          <w:tcPr>
            <w:tcW w:w="3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E7BD24">
            <w:pPr>
              <w:keepNext w:val="0"/>
              <w:keepLines w:val="0"/>
              <w:pageBreakBefore w:val="0"/>
              <w:widowControl w:val="0"/>
              <w:kinsoku/>
              <w:wordWrap/>
              <w:overflowPunct/>
              <w:topLinePunct w:val="0"/>
              <w:autoSpaceDE/>
              <w:autoSpaceDN/>
              <w:bidi w:val="0"/>
              <w:adjustRightInd/>
              <w:snapToGrid/>
              <w:spacing w:line="480" w:lineRule="exact"/>
              <w:ind w:right="-107" w:rightChars="-51"/>
              <w:jc w:val="center"/>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大黄桥南路618号</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224D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174.18</w:t>
            </w:r>
          </w:p>
        </w:tc>
        <w:tc>
          <w:tcPr>
            <w:tcW w:w="1035" w:type="dxa"/>
            <w:vMerge w:val="restart"/>
            <w:tcBorders>
              <w:top w:val="single" w:color="auto" w:sz="4" w:space="0"/>
              <w:left w:val="single" w:color="auto" w:sz="4" w:space="0"/>
              <w:right w:val="single" w:color="auto" w:sz="4" w:space="0"/>
            </w:tcBorders>
            <w:noWrap w:val="0"/>
            <w:vAlign w:val="center"/>
          </w:tcPr>
          <w:p w14:paraId="19CC77F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1EA700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4"/>
                <w:szCs w:val="24"/>
                <w:u w:val="none"/>
                <w:lang w:val="en-US" w:eastAsia="zh-CN" w:bidi="ar"/>
              </w:rPr>
              <w:t>35000</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EAD450E">
            <w:pPr>
              <w:keepNext w:val="0"/>
              <w:keepLines w:val="0"/>
              <w:pageBreakBefore w:val="0"/>
              <w:kinsoku/>
              <w:wordWrap/>
              <w:overflowPunct/>
              <w:topLinePunct w:val="0"/>
              <w:autoSpaceDE/>
              <w:autoSpaceDN/>
              <w:bidi w:val="0"/>
              <w:adjustRightInd/>
              <w:snapToGrid/>
              <w:spacing w:line="480" w:lineRule="exact"/>
              <w:ind w:right="-107" w:rightChars="-51"/>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auto"/>
                <w:kern w:val="0"/>
                <w:sz w:val="24"/>
                <w:szCs w:val="24"/>
                <w:u w:val="none"/>
                <w:lang w:val="en-US" w:eastAsia="zh-CN" w:bidi="ar"/>
              </w:rPr>
              <w:t>7000</w:t>
            </w:r>
          </w:p>
        </w:tc>
      </w:tr>
      <w:tr w14:paraId="3987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4A317989">
            <w:pPr>
              <w:keepNext w:val="0"/>
              <w:keepLines w:val="0"/>
              <w:pageBreakBefore w:val="0"/>
              <w:widowControl w:val="0"/>
              <w:kinsoku/>
              <w:wordWrap/>
              <w:overflowPunct/>
              <w:topLinePunct w:val="0"/>
              <w:autoSpaceDE/>
              <w:autoSpaceDN/>
              <w:bidi w:val="0"/>
              <w:adjustRightInd/>
              <w:snapToGrid/>
              <w:spacing w:line="400" w:lineRule="exact"/>
              <w:ind w:left="-179" w:leftChars="-86" w:right="-141" w:rightChars="-67" w:hanging="2" w:hangingChars="1"/>
              <w:jc w:val="center"/>
              <w:textAlignment w:val="auto"/>
              <w:rPr>
                <w:rFonts w:hint="eastAsia" w:eastAsia="宋体"/>
                <w:b/>
                <w:sz w:val="18"/>
                <w:szCs w:val="18"/>
                <w:lang w:val="en-US" w:eastAsia="zh-CN"/>
              </w:rPr>
            </w:pPr>
            <w:r>
              <w:rPr>
                <w:rFonts w:hint="eastAsia"/>
                <w:b/>
                <w:sz w:val="18"/>
                <w:szCs w:val="18"/>
                <w:lang w:val="en-US" w:eastAsia="zh-CN"/>
              </w:rPr>
              <w:t>2</w:t>
            </w:r>
          </w:p>
        </w:tc>
        <w:tc>
          <w:tcPr>
            <w:tcW w:w="3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6ECF59">
            <w:pPr>
              <w:keepNext w:val="0"/>
              <w:keepLines w:val="0"/>
              <w:pageBreakBefore w:val="0"/>
              <w:widowControl w:val="0"/>
              <w:kinsoku/>
              <w:wordWrap/>
              <w:overflowPunct/>
              <w:topLinePunct w:val="0"/>
              <w:autoSpaceDE/>
              <w:autoSpaceDN/>
              <w:bidi w:val="0"/>
              <w:adjustRightInd/>
              <w:snapToGrid/>
              <w:spacing w:line="480" w:lineRule="exact"/>
              <w:ind w:left="-107" w:leftChars="-51" w:right="-107" w:rightChars="-51" w:firstLine="240" w:firstLineChars="100"/>
              <w:jc w:val="center"/>
              <w:textAlignment w:val="auto"/>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保庆路20号</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AC382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63.08</w:t>
            </w:r>
          </w:p>
        </w:tc>
        <w:tc>
          <w:tcPr>
            <w:tcW w:w="1035" w:type="dxa"/>
            <w:vMerge w:val="continue"/>
            <w:tcBorders>
              <w:left w:val="single" w:color="auto" w:sz="4" w:space="0"/>
              <w:right w:val="single" w:color="auto" w:sz="4" w:space="0"/>
            </w:tcBorders>
            <w:noWrap w:val="0"/>
            <w:vAlign w:val="center"/>
          </w:tcPr>
          <w:p w14:paraId="5E19C0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18"/>
                <w:szCs w:val="18"/>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CDE9D9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4"/>
                <w:szCs w:val="24"/>
                <w:u w:val="none"/>
                <w:lang w:val="en-US" w:eastAsia="zh-CN" w:bidi="ar"/>
              </w:rPr>
              <w:t>29000</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5FFB437">
            <w:pPr>
              <w:keepNext w:val="0"/>
              <w:keepLines w:val="0"/>
              <w:pageBreakBefore w:val="0"/>
              <w:kinsoku/>
              <w:wordWrap/>
              <w:overflowPunct/>
              <w:topLinePunct w:val="0"/>
              <w:autoSpaceDE/>
              <w:autoSpaceDN/>
              <w:bidi w:val="0"/>
              <w:adjustRightInd/>
              <w:snapToGrid/>
              <w:spacing w:line="480" w:lineRule="exact"/>
              <w:ind w:right="-107" w:rightChars="-51"/>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auto"/>
                <w:kern w:val="0"/>
                <w:sz w:val="24"/>
                <w:szCs w:val="24"/>
                <w:u w:val="none"/>
                <w:lang w:val="en-US" w:eastAsia="zh-CN" w:bidi="ar"/>
              </w:rPr>
              <w:t>6000</w:t>
            </w:r>
          </w:p>
        </w:tc>
      </w:tr>
      <w:tr w14:paraId="5B20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48FB5210">
            <w:pPr>
              <w:keepNext w:val="0"/>
              <w:keepLines w:val="0"/>
              <w:pageBreakBefore w:val="0"/>
              <w:widowControl w:val="0"/>
              <w:kinsoku/>
              <w:wordWrap/>
              <w:overflowPunct/>
              <w:topLinePunct w:val="0"/>
              <w:autoSpaceDE/>
              <w:autoSpaceDN/>
              <w:bidi w:val="0"/>
              <w:adjustRightInd/>
              <w:snapToGrid/>
              <w:spacing w:line="400" w:lineRule="exact"/>
              <w:ind w:left="-179" w:leftChars="-86" w:right="-141" w:rightChars="-67" w:hanging="2" w:hangingChars="1"/>
              <w:jc w:val="center"/>
              <w:textAlignment w:val="auto"/>
              <w:rPr>
                <w:rFonts w:hint="default" w:eastAsia="宋体"/>
                <w:b/>
                <w:sz w:val="18"/>
                <w:szCs w:val="18"/>
                <w:lang w:val="en-US" w:eastAsia="zh-CN"/>
              </w:rPr>
            </w:pPr>
            <w:r>
              <w:rPr>
                <w:rFonts w:hint="eastAsia"/>
                <w:b/>
                <w:sz w:val="18"/>
                <w:szCs w:val="18"/>
                <w:lang w:val="en-US" w:eastAsia="zh-CN"/>
              </w:rPr>
              <w:t>3</w:t>
            </w:r>
          </w:p>
        </w:tc>
        <w:tc>
          <w:tcPr>
            <w:tcW w:w="3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19ED9E">
            <w:pPr>
              <w:keepNext w:val="0"/>
              <w:keepLines w:val="0"/>
              <w:pageBreakBefore w:val="0"/>
              <w:widowControl w:val="0"/>
              <w:kinsoku/>
              <w:wordWrap/>
              <w:overflowPunct/>
              <w:topLinePunct w:val="0"/>
              <w:autoSpaceDE/>
              <w:autoSpaceDN/>
              <w:bidi w:val="0"/>
              <w:adjustRightInd/>
              <w:snapToGrid/>
              <w:spacing w:line="480" w:lineRule="exact"/>
              <w:ind w:left="-107" w:leftChars="-51" w:right="-107" w:rightChars="-51" w:firstLine="240" w:firstLineChars="100"/>
              <w:jc w:val="center"/>
              <w:textAlignment w:val="auto"/>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保庆路22号</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10ABC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34.03</w:t>
            </w:r>
          </w:p>
        </w:tc>
        <w:tc>
          <w:tcPr>
            <w:tcW w:w="1035" w:type="dxa"/>
            <w:vMerge w:val="continue"/>
            <w:tcBorders>
              <w:left w:val="single" w:color="auto" w:sz="4" w:space="0"/>
              <w:right w:val="single" w:color="auto" w:sz="4" w:space="0"/>
            </w:tcBorders>
            <w:noWrap w:val="0"/>
            <w:vAlign w:val="center"/>
          </w:tcPr>
          <w:p w14:paraId="2AF2CA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18"/>
                <w:szCs w:val="18"/>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E4F545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4"/>
                <w:szCs w:val="24"/>
                <w:u w:val="none"/>
                <w:lang w:val="en-US" w:eastAsia="zh-CN" w:bidi="ar"/>
              </w:rPr>
              <w:t>16000</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6AFC89E">
            <w:pPr>
              <w:keepNext w:val="0"/>
              <w:keepLines w:val="0"/>
              <w:pageBreakBefore w:val="0"/>
              <w:kinsoku/>
              <w:wordWrap/>
              <w:overflowPunct/>
              <w:topLinePunct w:val="0"/>
              <w:autoSpaceDE/>
              <w:autoSpaceDN/>
              <w:bidi w:val="0"/>
              <w:adjustRightInd/>
              <w:snapToGrid/>
              <w:spacing w:line="480" w:lineRule="exact"/>
              <w:ind w:right="-107" w:rightChars="-51"/>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auto"/>
                <w:kern w:val="0"/>
                <w:sz w:val="24"/>
                <w:szCs w:val="24"/>
                <w:u w:val="none"/>
                <w:lang w:val="en-US" w:eastAsia="zh-CN" w:bidi="ar"/>
              </w:rPr>
              <w:t>3</w:t>
            </w:r>
            <w:r>
              <w:rPr>
                <w:rFonts w:hint="eastAsia" w:ascii="宋体" w:hAnsi="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00</w:t>
            </w:r>
          </w:p>
        </w:tc>
      </w:tr>
      <w:tr w14:paraId="7004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50B1FF40">
            <w:pPr>
              <w:keepNext w:val="0"/>
              <w:keepLines w:val="0"/>
              <w:pageBreakBefore w:val="0"/>
              <w:widowControl w:val="0"/>
              <w:kinsoku/>
              <w:wordWrap/>
              <w:overflowPunct/>
              <w:topLinePunct w:val="0"/>
              <w:autoSpaceDE/>
              <w:autoSpaceDN/>
              <w:bidi w:val="0"/>
              <w:adjustRightInd/>
              <w:snapToGrid/>
              <w:spacing w:line="400" w:lineRule="exact"/>
              <w:ind w:left="-179" w:leftChars="-86" w:right="-141" w:rightChars="-67" w:hanging="2" w:hangingChars="1"/>
              <w:jc w:val="center"/>
              <w:textAlignment w:val="auto"/>
              <w:rPr>
                <w:rFonts w:hint="default" w:eastAsia="宋体"/>
                <w:b/>
                <w:sz w:val="18"/>
                <w:szCs w:val="18"/>
                <w:lang w:val="en-US" w:eastAsia="zh-CN"/>
              </w:rPr>
            </w:pPr>
            <w:r>
              <w:rPr>
                <w:rFonts w:hint="eastAsia"/>
                <w:b/>
                <w:sz w:val="18"/>
                <w:szCs w:val="18"/>
                <w:lang w:val="en-US" w:eastAsia="zh-CN"/>
              </w:rPr>
              <w:t>4</w:t>
            </w:r>
          </w:p>
        </w:tc>
        <w:tc>
          <w:tcPr>
            <w:tcW w:w="3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682065">
            <w:pPr>
              <w:keepNext w:val="0"/>
              <w:keepLines w:val="0"/>
              <w:pageBreakBefore w:val="0"/>
              <w:widowControl w:val="0"/>
              <w:kinsoku/>
              <w:wordWrap/>
              <w:overflowPunct/>
              <w:topLinePunct w:val="0"/>
              <w:autoSpaceDE/>
              <w:autoSpaceDN/>
              <w:bidi w:val="0"/>
              <w:adjustRightInd/>
              <w:snapToGrid/>
              <w:spacing w:line="300" w:lineRule="exact"/>
              <w:ind w:left="-107" w:leftChars="-51" w:right="-107" w:rightChars="-51" w:firstLine="240" w:firstLineChars="100"/>
              <w:jc w:val="left"/>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子陵路75、79号（现为子陵路</w:t>
            </w:r>
          </w:p>
          <w:p w14:paraId="0CA0DE88">
            <w:pPr>
              <w:keepNext w:val="0"/>
              <w:keepLines w:val="0"/>
              <w:pageBreakBefore w:val="0"/>
              <w:widowControl w:val="0"/>
              <w:kinsoku/>
              <w:wordWrap/>
              <w:overflowPunct/>
              <w:topLinePunct w:val="0"/>
              <w:autoSpaceDE/>
              <w:autoSpaceDN/>
              <w:bidi w:val="0"/>
              <w:adjustRightInd/>
              <w:snapToGrid/>
              <w:spacing w:line="300" w:lineRule="exact"/>
              <w:ind w:left="-107" w:leftChars="-51" w:right="-107" w:rightChars="-51" w:firstLine="240" w:firstLineChars="100"/>
              <w:jc w:val="left"/>
              <w:textAlignment w:val="auto"/>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75、75-1、77、77-1、77-2号）</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B6B2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164.58</w:t>
            </w:r>
          </w:p>
        </w:tc>
        <w:tc>
          <w:tcPr>
            <w:tcW w:w="1035" w:type="dxa"/>
            <w:vMerge w:val="continue"/>
            <w:tcBorders>
              <w:left w:val="single" w:color="auto" w:sz="4" w:space="0"/>
              <w:right w:val="single" w:color="auto" w:sz="4" w:space="0"/>
            </w:tcBorders>
            <w:noWrap w:val="0"/>
            <w:vAlign w:val="center"/>
          </w:tcPr>
          <w:p w14:paraId="28A9B0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FBCD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4"/>
                <w:szCs w:val="24"/>
                <w:u w:val="none"/>
                <w:lang w:val="en-US" w:eastAsia="zh-CN" w:bidi="ar"/>
              </w:rPr>
              <w:t>118000</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CA4506A">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auto"/>
                <w:kern w:val="0"/>
                <w:sz w:val="24"/>
                <w:szCs w:val="24"/>
                <w:u w:val="none"/>
                <w:lang w:val="en-US" w:eastAsia="zh-CN" w:bidi="ar"/>
              </w:rPr>
              <w:t>24000</w:t>
            </w:r>
          </w:p>
        </w:tc>
      </w:tr>
      <w:tr w14:paraId="70FB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258095C3">
            <w:pPr>
              <w:keepNext w:val="0"/>
              <w:keepLines w:val="0"/>
              <w:pageBreakBefore w:val="0"/>
              <w:widowControl w:val="0"/>
              <w:kinsoku/>
              <w:wordWrap/>
              <w:overflowPunct/>
              <w:topLinePunct w:val="0"/>
              <w:autoSpaceDE/>
              <w:autoSpaceDN/>
              <w:bidi w:val="0"/>
              <w:adjustRightInd/>
              <w:snapToGrid/>
              <w:spacing w:line="480" w:lineRule="exact"/>
              <w:ind w:left="-179" w:leftChars="-86" w:right="-141" w:rightChars="-67" w:hanging="2" w:hangingChars="1"/>
              <w:jc w:val="center"/>
              <w:textAlignment w:val="auto"/>
              <w:rPr>
                <w:rFonts w:hint="default"/>
                <w:b/>
                <w:sz w:val="18"/>
                <w:szCs w:val="18"/>
                <w:lang w:val="en-US" w:eastAsia="zh-CN"/>
              </w:rPr>
            </w:pPr>
            <w:r>
              <w:rPr>
                <w:rFonts w:hint="eastAsia"/>
                <w:b/>
                <w:sz w:val="18"/>
                <w:szCs w:val="18"/>
                <w:lang w:val="en-US" w:eastAsia="zh-CN"/>
              </w:rPr>
              <w:t>5</w:t>
            </w:r>
          </w:p>
        </w:tc>
        <w:tc>
          <w:tcPr>
            <w:tcW w:w="3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F7DC87">
            <w:pPr>
              <w:keepNext w:val="0"/>
              <w:keepLines w:val="0"/>
              <w:pageBreakBefore w:val="0"/>
              <w:widowControl w:val="0"/>
              <w:kinsoku/>
              <w:wordWrap/>
              <w:overflowPunct/>
              <w:topLinePunct w:val="0"/>
              <w:autoSpaceDE/>
              <w:autoSpaceDN/>
              <w:bidi w:val="0"/>
              <w:adjustRightInd/>
              <w:snapToGrid/>
              <w:spacing w:line="480" w:lineRule="exact"/>
              <w:ind w:right="-107" w:rightChars="-51"/>
              <w:jc w:val="left"/>
              <w:textAlignment w:val="auto"/>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塑料城二期（路东）市场2-2号</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67898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79.01</w:t>
            </w:r>
          </w:p>
        </w:tc>
        <w:tc>
          <w:tcPr>
            <w:tcW w:w="1035" w:type="dxa"/>
            <w:vMerge w:val="continue"/>
            <w:tcBorders>
              <w:left w:val="single" w:color="auto" w:sz="4" w:space="0"/>
              <w:right w:val="single" w:color="auto" w:sz="4" w:space="0"/>
            </w:tcBorders>
            <w:noWrap w:val="0"/>
            <w:vAlign w:val="center"/>
          </w:tcPr>
          <w:p w14:paraId="3D5D7E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18"/>
                <w:szCs w:val="18"/>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F766A2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4"/>
                <w:szCs w:val="24"/>
                <w:u w:val="none"/>
                <w:lang w:val="en-US" w:eastAsia="zh-CN" w:bidi="ar"/>
              </w:rPr>
              <w:t>25200</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5BF3DC4">
            <w:pPr>
              <w:keepNext w:val="0"/>
              <w:keepLines w:val="0"/>
              <w:pageBreakBefore w:val="0"/>
              <w:kinsoku/>
              <w:wordWrap/>
              <w:overflowPunct/>
              <w:topLinePunct w:val="0"/>
              <w:autoSpaceDE/>
              <w:autoSpaceDN/>
              <w:bidi w:val="0"/>
              <w:adjustRightInd/>
              <w:snapToGrid/>
              <w:spacing w:line="480" w:lineRule="exact"/>
              <w:ind w:right="-107" w:rightChars="-51"/>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auto"/>
                <w:kern w:val="0"/>
                <w:sz w:val="24"/>
                <w:szCs w:val="24"/>
                <w:u w:val="none"/>
                <w:lang w:val="en-US" w:eastAsia="zh-CN" w:bidi="ar"/>
              </w:rPr>
              <w:t>5000</w:t>
            </w:r>
          </w:p>
        </w:tc>
      </w:tr>
      <w:tr w14:paraId="43C9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14:paraId="7A4E0640">
            <w:pPr>
              <w:keepNext w:val="0"/>
              <w:keepLines w:val="0"/>
              <w:pageBreakBefore w:val="0"/>
              <w:widowControl w:val="0"/>
              <w:kinsoku/>
              <w:wordWrap/>
              <w:overflowPunct/>
              <w:topLinePunct w:val="0"/>
              <w:autoSpaceDE/>
              <w:autoSpaceDN/>
              <w:bidi w:val="0"/>
              <w:adjustRightInd/>
              <w:snapToGrid/>
              <w:spacing w:line="400" w:lineRule="exact"/>
              <w:ind w:left="-179" w:leftChars="-86" w:right="-141" w:rightChars="-67" w:hanging="2" w:hangingChars="1"/>
              <w:jc w:val="center"/>
              <w:textAlignment w:val="auto"/>
              <w:rPr>
                <w:rFonts w:hint="eastAsia" w:ascii="Times New Roman" w:hAnsi="Times New Roman" w:eastAsia="宋体" w:cs="Times New Roman"/>
                <w:b/>
                <w:kern w:val="2"/>
                <w:sz w:val="18"/>
                <w:szCs w:val="18"/>
                <w:lang w:val="en-US" w:eastAsia="zh-CN" w:bidi="ar-SA"/>
              </w:rPr>
            </w:pPr>
            <w:r>
              <w:rPr>
                <w:rFonts w:hint="eastAsia"/>
                <w:b/>
                <w:sz w:val="18"/>
                <w:szCs w:val="18"/>
                <w:lang w:val="en-US" w:eastAsia="zh-CN"/>
              </w:rPr>
              <w:t>6</w:t>
            </w:r>
          </w:p>
        </w:tc>
        <w:tc>
          <w:tcPr>
            <w:tcW w:w="36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319D3E">
            <w:pPr>
              <w:keepNext w:val="0"/>
              <w:keepLines w:val="0"/>
              <w:pageBreakBefore w:val="0"/>
              <w:widowControl w:val="0"/>
              <w:kinsoku/>
              <w:wordWrap/>
              <w:overflowPunct/>
              <w:topLinePunct w:val="0"/>
              <w:autoSpaceDE/>
              <w:autoSpaceDN/>
              <w:bidi w:val="0"/>
              <w:adjustRightInd/>
              <w:snapToGrid/>
              <w:spacing w:line="300" w:lineRule="exact"/>
              <w:ind w:right="-107" w:rightChars="-51"/>
              <w:jc w:val="left"/>
              <w:textAlignment w:val="auto"/>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长安新村南区17幢102室、103至104室、105室（现为长安路185、187、189、191）</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44B2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391.2</w:t>
            </w:r>
          </w:p>
        </w:tc>
        <w:tc>
          <w:tcPr>
            <w:tcW w:w="1035" w:type="dxa"/>
            <w:vMerge w:val="continue"/>
            <w:tcBorders>
              <w:left w:val="single" w:color="auto" w:sz="4" w:space="0"/>
              <w:bottom w:val="single" w:color="auto" w:sz="4" w:space="0"/>
              <w:right w:val="single" w:color="auto" w:sz="4" w:space="0"/>
            </w:tcBorders>
            <w:noWrap w:val="0"/>
            <w:vAlign w:val="center"/>
          </w:tcPr>
          <w:p w14:paraId="632CEC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3FAAB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24"/>
                <w:szCs w:val="24"/>
                <w:u w:val="none"/>
                <w:lang w:val="en-US" w:eastAsia="zh-CN" w:bidi="ar"/>
              </w:rPr>
              <w:t>120000</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F8E7D2C">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cs="宋体"/>
                <w:sz w:val="18"/>
                <w:szCs w:val="18"/>
                <w:lang w:val="en-US" w:eastAsia="zh-CN"/>
              </w:rPr>
            </w:pPr>
            <w:r>
              <w:rPr>
                <w:rFonts w:hint="eastAsia" w:ascii="宋体" w:hAnsi="宋体" w:eastAsia="宋体" w:cs="宋体"/>
                <w:i w:val="0"/>
                <w:iCs w:val="0"/>
                <w:color w:val="auto"/>
                <w:kern w:val="0"/>
                <w:sz w:val="24"/>
                <w:szCs w:val="24"/>
                <w:u w:val="none"/>
                <w:lang w:val="en-US" w:eastAsia="zh-CN" w:bidi="ar"/>
              </w:rPr>
              <w:t>24000</w:t>
            </w:r>
          </w:p>
        </w:tc>
      </w:tr>
    </w:tbl>
    <w:p w14:paraId="4CB17121">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kern w:val="0"/>
          <w:sz w:val="24"/>
          <w:szCs w:val="24"/>
          <w:u w:val="none"/>
          <w:lang w:val="en-US" w:eastAsia="zh-CN" w:bidi="ar-SA"/>
        </w:rPr>
        <w:t>注：</w:t>
      </w:r>
      <w:r>
        <w:rPr>
          <w:rFonts w:hint="eastAsia" w:ascii="宋体" w:hAnsi="宋体" w:eastAsia="宋体" w:cs="宋体"/>
          <w:color w:val="auto"/>
          <w:sz w:val="24"/>
          <w:szCs w:val="24"/>
          <w:lang w:val="en-US" w:eastAsia="zh-CN"/>
        </w:rPr>
        <w:t>（一）以上标的物证载用途：商业用地/商业，现状：承租中；原承租人承诺搬离时间：2025年5月31日前。根据经营需要，标的物内可移动设施设备由原承租人投入，归原承租人所有，不属于本次拍卖范围。若竞买人急需用房，务必谨慎竞买，委托双方声明不作任何保证。</w:t>
      </w:r>
    </w:p>
    <w:p w14:paraId="2EAE5F01">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原承租人主张优先承租权的，应按规定办理报名登记手续，并在同等价格下享有优先承租权。</w:t>
      </w:r>
    </w:p>
    <w:p w14:paraId="313A7C4C">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
          <w:color w:val="auto"/>
          <w:sz w:val="24"/>
          <w:u w:val="none"/>
          <w:lang w:eastAsia="zh-CN"/>
        </w:rPr>
      </w:pPr>
      <w:r>
        <w:rPr>
          <w:rFonts w:hint="eastAsia" w:ascii="宋体" w:hAnsi="宋体" w:eastAsia="宋体" w:cs="宋体"/>
          <w:color w:val="auto"/>
          <w:kern w:val="0"/>
          <w:sz w:val="24"/>
          <w:szCs w:val="24"/>
          <w:u w:val="none"/>
          <w:lang w:val="en-US" w:eastAsia="zh-CN" w:bidi="ar-SA"/>
        </w:rPr>
        <w:t>（二）标的物以实物现状为准，委托双方不承担拍卖标</w:t>
      </w:r>
      <w:r>
        <w:rPr>
          <w:rFonts w:hint="eastAsia" w:ascii="宋体" w:hAnsi="宋体" w:eastAsia="宋体" w:cs="宋体"/>
          <w:color w:val="auto"/>
          <w:sz w:val="24"/>
          <w:szCs w:val="24"/>
        </w:rPr>
        <w:t>的的瑕疵担保责任。</w:t>
      </w:r>
      <w:r>
        <w:rPr>
          <w:rFonts w:hint="eastAsia" w:ascii="宋体" w:hAnsi="宋体" w:eastAsia="宋体" w:cs="宋体"/>
          <w:color w:val="auto"/>
          <w:sz w:val="24"/>
          <w:szCs w:val="24"/>
          <w:lang w:val="en-US" w:eastAsia="zh-CN"/>
        </w:rPr>
        <w:t>因标的物现状引发的纠纷均由买受人自由承担，</w:t>
      </w:r>
      <w:r>
        <w:rPr>
          <w:rFonts w:hint="eastAsia" w:ascii="宋体" w:hAnsi="宋体" w:eastAsia="宋体" w:cs="宋体"/>
          <w:color w:val="auto"/>
          <w:sz w:val="24"/>
          <w:szCs w:val="24"/>
          <w:lang w:eastAsia="zh-CN"/>
        </w:rPr>
        <w:t>委托</w:t>
      </w:r>
      <w:r>
        <w:rPr>
          <w:rFonts w:hint="eastAsia" w:ascii="宋体" w:hAnsi="宋体" w:eastAsia="宋体" w:cs="宋体"/>
          <w:color w:val="auto"/>
          <w:sz w:val="24"/>
          <w:szCs w:val="24"/>
          <w:lang w:val="en-US" w:eastAsia="zh-CN"/>
        </w:rPr>
        <w:t>人有权从竞买保证金中直接扣除维权费用。</w:t>
      </w:r>
      <w:r>
        <w:rPr>
          <w:rFonts w:hint="eastAsia" w:ascii="宋体" w:hAnsi="宋体" w:eastAsia="宋体" w:cs="宋体"/>
          <w:color w:val="auto"/>
          <w:sz w:val="24"/>
          <w:szCs w:val="24"/>
        </w:rPr>
        <w:t>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14:paraId="600D1A20">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ascii="宋体" w:hAnsi="宋体"/>
          <w:b/>
          <w:color w:val="auto"/>
          <w:sz w:val="24"/>
          <w:u w:val="none"/>
        </w:rPr>
      </w:pPr>
      <w:r>
        <w:rPr>
          <w:rFonts w:hint="eastAsia" w:ascii="宋体" w:hAnsi="宋体"/>
          <w:b/>
          <w:color w:val="auto"/>
          <w:sz w:val="24"/>
          <w:u w:val="none"/>
        </w:rPr>
        <w:t>第五条   标的物特别说明（具体以委托人与买受人签订的合同为准）</w:t>
      </w:r>
    </w:p>
    <w:p w14:paraId="7F64CC0F">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b/>
          <w:color w:val="auto"/>
          <w:sz w:val="24"/>
          <w:u w:val="none"/>
        </w:rPr>
      </w:pPr>
      <w:r>
        <w:rPr>
          <w:rFonts w:hint="eastAsia" w:ascii="宋体" w:hAnsi="宋体"/>
          <w:b/>
          <w:color w:val="auto"/>
          <w:sz w:val="24"/>
          <w:u w:val="none"/>
        </w:rPr>
        <w:t>竞买人须自愿接受下列条款以及《余姚市非住宅直管公房租赁合同</w:t>
      </w:r>
      <w:r>
        <w:rPr>
          <w:rFonts w:hint="eastAsia" w:ascii="宋体" w:hAnsi="宋体"/>
          <w:b/>
          <w:color w:val="auto"/>
          <w:sz w:val="24"/>
          <w:u w:val="none"/>
          <w:lang w:eastAsia="zh-CN"/>
        </w:rPr>
        <w:t>（样本）</w:t>
      </w:r>
      <w:r>
        <w:rPr>
          <w:rFonts w:hint="eastAsia" w:ascii="宋体" w:hAnsi="宋体"/>
          <w:b/>
          <w:color w:val="auto"/>
          <w:sz w:val="24"/>
          <w:u w:val="none"/>
        </w:rPr>
        <w:t>》条款方可参加拍卖：</w:t>
      </w:r>
      <w:bookmarkStart w:id="1" w:name="_Hlk122378508"/>
    </w:p>
    <w:p w14:paraId="7626C17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cs="宋体"/>
          <w:color w:val="auto"/>
          <w:kern w:val="0"/>
          <w:sz w:val="24"/>
          <w:highlight w:val="none"/>
          <w:lang w:eastAsia="zh-CN"/>
        </w:rPr>
      </w:pPr>
      <w:r>
        <w:rPr>
          <w:rFonts w:hint="eastAsia" w:ascii="宋体" w:hAnsi="宋体"/>
          <w:color w:val="auto"/>
          <w:sz w:val="24"/>
          <w:lang w:eastAsia="zh-CN"/>
        </w:rPr>
        <w:t>（一）</w:t>
      </w:r>
      <w:r>
        <w:rPr>
          <w:rFonts w:hint="eastAsia" w:ascii="宋体" w:hAnsi="宋体" w:cs="Arial"/>
          <w:color w:val="auto"/>
          <w:kern w:val="0"/>
          <w:sz w:val="24"/>
          <w:szCs w:val="24"/>
          <w:highlight w:val="none"/>
          <w:vertAlign w:val="baseline"/>
          <w:lang w:val="en-US" w:eastAsia="zh-CN"/>
        </w:rPr>
        <w:t>如原承租人参拍未竞得标的，且</w:t>
      </w:r>
      <w:r>
        <w:rPr>
          <w:rFonts w:hint="eastAsia" w:ascii="宋体" w:hAnsi="宋体" w:cs="宋体"/>
          <w:color w:val="auto"/>
          <w:kern w:val="0"/>
          <w:sz w:val="24"/>
          <w:highlight w:val="none"/>
          <w:lang w:eastAsia="zh-CN"/>
        </w:rPr>
        <w:t>在承诺搬离时间到期后继续拖延的，则其交纳的</w:t>
      </w:r>
      <w:r>
        <w:rPr>
          <w:rFonts w:hint="eastAsia" w:ascii="宋体" w:hAnsi="宋体" w:cs="Arial"/>
          <w:color w:val="auto"/>
          <w:kern w:val="0"/>
          <w:sz w:val="24"/>
          <w:szCs w:val="24"/>
          <w:highlight w:val="none"/>
          <w:vertAlign w:val="baseline"/>
          <w:lang w:val="en-US" w:eastAsia="zh-CN"/>
        </w:rPr>
        <w:t>搬房保证金不予退还，占用标的物期间的租金按新成交价双倍计算并</w:t>
      </w:r>
      <w:r>
        <w:rPr>
          <w:rFonts w:hint="eastAsia" w:ascii="宋体" w:hAnsi="宋体" w:cs="宋体"/>
          <w:color w:val="auto"/>
          <w:kern w:val="0"/>
          <w:sz w:val="24"/>
          <w:highlight w:val="none"/>
          <w:lang w:eastAsia="zh-CN"/>
        </w:rPr>
        <w:t>取消参加该标的物再次拍卖时的竞买资格，且买受人（新承租人）租期顺延，由此可能产生风险与法律责任。竞买人若急需用房的，务必谨慎竞买，委托双方声明不作任何保证：</w:t>
      </w:r>
    </w:p>
    <w:p w14:paraId="7BABD2D9">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如原承租人未按约定按期搬离、逾期时间不足1个月的，且委托人通知买受人（新承租人）办理相关交付手续的，买受人（新承租人）须在约定期间内按时办理相关承租手续，否则视为买受人（新承租人）放弃承租权，且竞买保证金将不予退还。</w:t>
      </w:r>
    </w:p>
    <w:p w14:paraId="79E3085B">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2.如原承租人在承诺搬离时间到期后拖延满1个月及以上的，则买受人（新承租人）可自愿放弃承租权，并要求退还竞买保证金（</w:t>
      </w:r>
      <w:r>
        <w:rPr>
          <w:rFonts w:hint="eastAsia" w:ascii="宋体" w:hAnsi="宋体"/>
          <w:color w:val="auto"/>
          <w:sz w:val="24"/>
          <w:highlight w:val="none"/>
        </w:rPr>
        <w:t>按交款当日的</w:t>
      </w:r>
      <w:r>
        <w:rPr>
          <w:rFonts w:hint="eastAsia" w:ascii="宋体" w:hAnsi="宋体" w:cs="宋体"/>
          <w:color w:val="auto"/>
          <w:kern w:val="0"/>
          <w:sz w:val="24"/>
          <w:highlight w:val="none"/>
          <w:lang w:eastAsia="zh-CN"/>
        </w:rPr>
        <w:t>银行同期活期存款利率计息）。</w:t>
      </w:r>
    </w:p>
    <w:p w14:paraId="33A3A8D0">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2.1 买受人（新承租人）若按约定放弃承租权的，可退还竞买保证金（按交款当日的银行同期活期存款利率计息），且委托人可重新组织拍卖。</w:t>
      </w:r>
    </w:p>
    <w:p w14:paraId="057012A0">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2.2 买受人（新承租人）若愿意继续等待的，待委托人通过法律途径收回标的物后，以买受人（新承租人）留存的联系方式予以通知（</w:t>
      </w:r>
      <w:r>
        <w:rPr>
          <w:rFonts w:hint="eastAsia" w:ascii="宋体" w:hAnsi="宋体" w:cs="宋体"/>
          <w:color w:val="auto"/>
          <w:kern w:val="0"/>
          <w:sz w:val="24"/>
        </w:rPr>
        <w:t>手机短信、信函一经发送或者签收，即视为通知已送达</w:t>
      </w:r>
      <w:r>
        <w:rPr>
          <w:rFonts w:hint="eastAsia" w:ascii="宋体" w:hAnsi="宋体" w:cs="宋体"/>
          <w:color w:val="auto"/>
          <w:kern w:val="0"/>
          <w:sz w:val="24"/>
          <w:highlight w:val="none"/>
          <w:lang w:eastAsia="zh-CN"/>
        </w:rPr>
        <w:t>）；买受人（新承租人）应在通知送达后5个工作日内办理承租手续（包括支付租金、履约保证金、买受佣金以及签订租赁合同），否则视为买受人（新承租人）放弃承租权，且竞买保证金将不予退还。</w:t>
      </w:r>
    </w:p>
    <w:p w14:paraId="423021CE">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val="0"/>
          <w:color w:val="auto"/>
          <w:kern w:val="0"/>
          <w:sz w:val="24"/>
          <w:highlight w:val="none"/>
          <w:u w:val="none"/>
          <w:lang w:val="en-US" w:eastAsia="zh-CN"/>
        </w:rPr>
      </w:pPr>
      <w:r>
        <w:rPr>
          <w:rFonts w:hint="eastAsia" w:ascii="宋体" w:hAnsi="宋体"/>
          <w:color w:val="auto"/>
          <w:sz w:val="24"/>
          <w:u w:val="none"/>
          <w:lang w:eastAsia="zh-CN"/>
        </w:rPr>
        <w:t>（二）</w:t>
      </w:r>
      <w:r>
        <w:rPr>
          <w:rFonts w:hint="eastAsia" w:ascii="宋体" w:hAnsi="宋体" w:cs="宋体"/>
          <w:color w:val="auto"/>
          <w:kern w:val="0"/>
          <w:sz w:val="24"/>
          <w:highlight w:val="none"/>
          <w:u w:val="none"/>
        </w:rPr>
        <w:t>签订《</w:t>
      </w:r>
      <w:r>
        <w:rPr>
          <w:rFonts w:hint="eastAsia" w:ascii="宋体" w:hAnsi="宋体" w:cs="宋体"/>
          <w:color w:val="auto"/>
          <w:kern w:val="0"/>
          <w:sz w:val="24"/>
          <w:u w:val="none"/>
        </w:rPr>
        <w:t>余姚市非住宅直管公房租赁合同</w:t>
      </w:r>
      <w:r>
        <w:rPr>
          <w:rFonts w:hint="eastAsia" w:ascii="宋体" w:hAnsi="宋体" w:cs="宋体"/>
          <w:color w:val="auto"/>
          <w:kern w:val="0"/>
          <w:sz w:val="24"/>
          <w:highlight w:val="none"/>
          <w:u w:val="none"/>
        </w:rPr>
        <w:t>》</w:t>
      </w:r>
      <w:r>
        <w:rPr>
          <w:rFonts w:hint="eastAsia" w:ascii="宋体" w:hAnsi="宋体" w:cs="宋体"/>
          <w:color w:val="auto"/>
          <w:kern w:val="0"/>
          <w:sz w:val="24"/>
          <w:highlight w:val="none"/>
          <w:u w:val="none"/>
          <w:lang w:eastAsia="zh-CN"/>
        </w:rPr>
        <w:t>前，</w:t>
      </w:r>
      <w:r>
        <w:rPr>
          <w:rFonts w:hint="eastAsia" w:ascii="宋体" w:hAnsi="宋体" w:cs="宋体"/>
          <w:color w:val="auto"/>
          <w:kern w:val="0"/>
          <w:sz w:val="24"/>
          <w:highlight w:val="none"/>
          <w:u w:val="none"/>
        </w:rPr>
        <w:t>由买受人向委托人支付</w:t>
      </w:r>
      <w:r>
        <w:rPr>
          <w:rFonts w:hint="eastAsia" w:ascii="宋体" w:hAnsi="宋体" w:cs="宋体"/>
          <w:b/>
          <w:bCs/>
          <w:color w:val="auto"/>
          <w:kern w:val="0"/>
          <w:sz w:val="24"/>
          <w:highlight w:val="none"/>
          <w:u w:val="none"/>
        </w:rPr>
        <w:t>履约保证金：</w:t>
      </w:r>
      <w:r>
        <w:rPr>
          <w:rFonts w:hint="eastAsia" w:ascii="宋体" w:hAnsi="宋体" w:cs="宋体"/>
          <w:b/>
          <w:bCs/>
          <w:color w:val="auto"/>
          <w:kern w:val="0"/>
          <w:sz w:val="24"/>
          <w:highlight w:val="none"/>
          <w:u w:val="none"/>
          <w:lang w:val="en-US" w:eastAsia="zh-CN"/>
        </w:rPr>
        <w:t>按第1年租金成交价的20%收取（四舍五入，整取到千位）</w:t>
      </w:r>
      <w:r>
        <w:rPr>
          <w:rFonts w:hint="eastAsia" w:ascii="宋体" w:hAnsi="宋体" w:cs="宋体"/>
          <w:b w:val="0"/>
          <w:bCs w:val="0"/>
          <w:color w:val="auto"/>
          <w:kern w:val="0"/>
          <w:sz w:val="24"/>
          <w:highlight w:val="none"/>
          <w:u w:val="none"/>
        </w:rPr>
        <w:t>。</w:t>
      </w:r>
      <w:r>
        <w:rPr>
          <w:rFonts w:hint="eastAsia" w:ascii="宋体" w:hAnsi="宋体"/>
          <w:b w:val="0"/>
          <w:bCs w:val="0"/>
          <w:color w:val="auto"/>
          <w:sz w:val="24"/>
          <w:highlight w:val="none"/>
          <w:u w:val="none"/>
        </w:rPr>
        <w:t>履约保证金收取后，委托人应向买受人开具收款凭证。</w:t>
      </w:r>
      <w:r>
        <w:rPr>
          <w:rFonts w:hint="eastAsia" w:ascii="宋体" w:hAnsi="宋体" w:cs="宋体"/>
          <w:b w:val="0"/>
          <w:bCs w:val="0"/>
          <w:color w:val="auto"/>
          <w:kern w:val="0"/>
          <w:sz w:val="24"/>
          <w:highlight w:val="none"/>
          <w:u w:val="none"/>
          <w:lang w:val="en-US" w:eastAsia="zh-CN"/>
        </w:rPr>
        <w:t>待租赁期届满或非买受人原因解除合同的，且买受人结清水、电、气、物业管理费等租赁期间日常费用，交还钥匙，并在工商登记注销或变更经营地后，由委托人一次性退还履约保证金</w:t>
      </w:r>
      <w:r>
        <w:rPr>
          <w:rFonts w:hint="eastAsia" w:ascii="宋体" w:hAnsi="宋体" w:cs="宋体"/>
          <w:b/>
          <w:bCs/>
          <w:color w:val="auto"/>
          <w:kern w:val="0"/>
          <w:sz w:val="24"/>
          <w:highlight w:val="none"/>
          <w:u w:val="none"/>
          <w:lang w:val="en-US" w:eastAsia="zh-CN"/>
        </w:rPr>
        <w:t>（按交款当日的银行同期活期存款利率计息）</w:t>
      </w:r>
      <w:r>
        <w:rPr>
          <w:rFonts w:hint="eastAsia" w:ascii="宋体" w:hAnsi="宋体" w:cs="宋体"/>
          <w:b w:val="0"/>
          <w:bCs w:val="0"/>
          <w:color w:val="auto"/>
          <w:kern w:val="0"/>
          <w:sz w:val="24"/>
          <w:highlight w:val="none"/>
          <w:u w:val="none"/>
          <w:lang w:val="en-US" w:eastAsia="zh-CN"/>
        </w:rPr>
        <w:t>。</w:t>
      </w:r>
    </w:p>
    <w:p w14:paraId="6E556C5D">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s="宋体"/>
          <w:b w:val="0"/>
          <w:bCs w:val="0"/>
          <w:color w:val="auto"/>
          <w:kern w:val="0"/>
          <w:sz w:val="24"/>
          <w:highlight w:val="none"/>
          <w:u w:val="none"/>
          <w:lang w:val="en-US" w:eastAsia="zh-CN"/>
        </w:rPr>
      </w:pPr>
      <w:r>
        <w:rPr>
          <w:rFonts w:hint="eastAsia" w:ascii="宋体" w:hAnsi="宋体" w:cs="宋体"/>
          <w:color w:val="auto"/>
          <w:kern w:val="0"/>
          <w:sz w:val="24"/>
          <w:highlight w:val="none"/>
          <w:u w:val="none"/>
          <w:lang w:eastAsia="zh-CN"/>
        </w:rPr>
        <w:t>（三）租</w:t>
      </w:r>
      <w:r>
        <w:rPr>
          <w:rFonts w:hint="eastAsia" w:ascii="宋体" w:hAnsi="宋体"/>
          <w:color w:val="auto"/>
          <w:sz w:val="24"/>
          <w:u w:val="none"/>
        </w:rPr>
        <w:t>金实行按年支付、先付后用的原则</w:t>
      </w:r>
      <w:r>
        <w:rPr>
          <w:rFonts w:hint="eastAsia" w:ascii="Calibri" w:hAnsi="Calibri" w:cs="Calibri"/>
          <w:color w:val="auto"/>
          <w:kern w:val="0"/>
          <w:sz w:val="24"/>
          <w:u w:val="none"/>
        </w:rPr>
        <w:t>，</w:t>
      </w:r>
      <w:r>
        <w:rPr>
          <w:rFonts w:hint="eastAsia" w:ascii="宋体" w:hAnsi="宋体" w:cs="宋体"/>
          <w:b w:val="0"/>
          <w:bCs w:val="0"/>
          <w:color w:val="auto"/>
          <w:kern w:val="0"/>
          <w:sz w:val="24"/>
          <w:highlight w:val="none"/>
          <w:u w:val="none"/>
          <w:lang w:val="en-US" w:eastAsia="zh-CN"/>
        </w:rPr>
        <w:t>第2年租金须在第一年度到期前的1个月付清，以此类推。</w:t>
      </w:r>
    </w:p>
    <w:p w14:paraId="6A6F70A0">
      <w:pPr>
        <w:keepNext w:val="0"/>
        <w:keepLines w:val="0"/>
        <w:pageBreakBefore w:val="0"/>
        <w:widowControl w:val="0"/>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kern w:val="0"/>
          <w:sz w:val="24"/>
          <w:u w:val="none"/>
        </w:rPr>
      </w:pPr>
      <w:r>
        <w:rPr>
          <w:rFonts w:hint="eastAsia" w:ascii="宋体" w:hAnsi="宋体" w:cs="宋体"/>
          <w:color w:val="auto"/>
          <w:kern w:val="0"/>
          <w:sz w:val="24"/>
          <w:highlight w:val="none"/>
          <w:u w:val="none"/>
        </w:rPr>
        <w:t>（</w:t>
      </w:r>
      <w:r>
        <w:rPr>
          <w:rFonts w:hint="eastAsia" w:ascii="宋体" w:hAnsi="宋体" w:cs="宋体"/>
          <w:color w:val="auto"/>
          <w:kern w:val="0"/>
          <w:sz w:val="24"/>
          <w:highlight w:val="none"/>
          <w:u w:val="none"/>
          <w:lang w:eastAsia="zh-CN"/>
        </w:rPr>
        <w:t>四</w:t>
      </w:r>
      <w:r>
        <w:rPr>
          <w:rFonts w:hint="eastAsia" w:ascii="宋体" w:hAnsi="宋体" w:cs="宋体"/>
          <w:color w:val="auto"/>
          <w:kern w:val="0"/>
          <w:sz w:val="24"/>
          <w:highlight w:val="none"/>
          <w:u w:val="none"/>
        </w:rPr>
        <w:t>）</w:t>
      </w:r>
      <w:r>
        <w:rPr>
          <w:rFonts w:hint="eastAsia" w:ascii="宋体" w:hAnsi="宋体"/>
          <w:color w:val="auto"/>
          <w:sz w:val="24"/>
          <w:u w:val="none"/>
        </w:rPr>
        <w:t>未经委托人同意，买受人不得擅自将标的物转租、转借及分租</w:t>
      </w:r>
      <w:r>
        <w:rPr>
          <w:rFonts w:hint="eastAsia" w:ascii="宋体" w:hAnsi="宋体"/>
          <w:color w:val="auto"/>
          <w:sz w:val="24"/>
          <w:u w:val="none"/>
          <w:lang w:eastAsia="zh-CN"/>
        </w:rPr>
        <w:t>或以其他方式变相转租</w:t>
      </w:r>
      <w:r>
        <w:rPr>
          <w:rFonts w:hint="eastAsia" w:ascii="宋体" w:hAnsi="宋体"/>
          <w:color w:val="auto"/>
          <w:sz w:val="24"/>
          <w:u w:val="none"/>
        </w:rPr>
        <w:t>。如</w:t>
      </w:r>
      <w:r>
        <w:rPr>
          <w:rFonts w:hint="eastAsia" w:ascii="宋体" w:hAnsi="宋体"/>
          <w:color w:val="auto"/>
          <w:sz w:val="24"/>
          <w:u w:val="none"/>
          <w:lang w:eastAsia="zh-CN"/>
        </w:rPr>
        <w:t>买受人</w:t>
      </w:r>
      <w:r>
        <w:rPr>
          <w:rFonts w:hint="eastAsia" w:ascii="宋体" w:hAnsi="宋体"/>
          <w:color w:val="auto"/>
          <w:sz w:val="24"/>
          <w:u w:val="none"/>
        </w:rPr>
        <w:t>要求进行退租的，则须提前</w:t>
      </w:r>
      <w:r>
        <w:rPr>
          <w:rFonts w:hint="eastAsia" w:ascii="宋体" w:hAnsi="宋体"/>
          <w:color w:val="auto"/>
          <w:sz w:val="24"/>
          <w:u w:val="none"/>
          <w:lang w:val="en-US" w:eastAsia="zh-CN"/>
        </w:rPr>
        <w:t>2</w:t>
      </w:r>
      <w:r>
        <w:rPr>
          <w:rFonts w:hint="eastAsia" w:ascii="宋体" w:hAnsi="宋体"/>
          <w:color w:val="auto"/>
          <w:sz w:val="24"/>
          <w:u w:val="none"/>
        </w:rPr>
        <w:t>个月书面通知</w:t>
      </w:r>
      <w:r>
        <w:rPr>
          <w:rFonts w:hint="eastAsia" w:ascii="宋体" w:hAnsi="宋体"/>
          <w:color w:val="auto"/>
          <w:sz w:val="24"/>
          <w:u w:val="none"/>
          <w:lang w:eastAsia="zh-CN"/>
        </w:rPr>
        <w:t>委托人</w:t>
      </w:r>
      <w:r>
        <w:rPr>
          <w:rFonts w:hint="eastAsia" w:ascii="宋体" w:hAnsi="宋体"/>
          <w:color w:val="auto"/>
          <w:sz w:val="24"/>
          <w:u w:val="none"/>
        </w:rPr>
        <w:t>，经</w:t>
      </w:r>
      <w:r>
        <w:rPr>
          <w:rFonts w:hint="eastAsia" w:ascii="宋体" w:hAnsi="宋体"/>
          <w:color w:val="auto"/>
          <w:sz w:val="24"/>
          <w:u w:val="none"/>
          <w:lang w:eastAsia="zh-CN"/>
        </w:rPr>
        <w:t>委托人</w:t>
      </w:r>
      <w:r>
        <w:rPr>
          <w:rFonts w:hint="eastAsia" w:ascii="宋体" w:hAnsi="宋体"/>
          <w:color w:val="auto"/>
          <w:sz w:val="24"/>
          <w:u w:val="none"/>
        </w:rPr>
        <w:t>同意后，方可办理退租手续；</w:t>
      </w:r>
      <w:r>
        <w:rPr>
          <w:rFonts w:hint="eastAsia" w:ascii="宋体" w:hAnsi="宋体"/>
          <w:color w:val="auto"/>
          <w:sz w:val="24"/>
          <w:u w:val="none"/>
          <w:lang w:eastAsia="zh-CN"/>
        </w:rPr>
        <w:t>租赁期不满一年的履约保证金不予退还。</w:t>
      </w:r>
    </w:p>
    <w:p w14:paraId="3D2CCF36">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olor w:val="auto"/>
          <w:sz w:val="24"/>
          <w:u w:val="none"/>
          <w:lang w:eastAsia="zh-CN"/>
        </w:rPr>
      </w:pPr>
      <w:r>
        <w:rPr>
          <w:rFonts w:hint="eastAsia" w:ascii="宋体" w:hAnsi="宋体" w:cs="宋体"/>
          <w:bCs/>
          <w:color w:val="auto"/>
          <w:kern w:val="0"/>
          <w:sz w:val="24"/>
          <w:szCs w:val="24"/>
          <w:u w:val="none"/>
          <w:lang w:eastAsia="zh-CN"/>
        </w:rPr>
        <w:t>（五）</w:t>
      </w:r>
      <w:r>
        <w:rPr>
          <w:rFonts w:hint="eastAsia" w:ascii="宋体" w:hAnsi="宋体"/>
          <w:color w:val="auto"/>
          <w:sz w:val="24"/>
          <w:u w:val="none"/>
          <w:lang w:eastAsia="zh-CN"/>
        </w:rPr>
        <w:t>委托人</w:t>
      </w:r>
      <w:r>
        <w:rPr>
          <w:rFonts w:hint="eastAsia" w:ascii="宋体" w:hAnsi="宋体"/>
          <w:color w:val="auto"/>
          <w:sz w:val="24"/>
          <w:u w:val="none"/>
        </w:rPr>
        <w:t>按标的</w:t>
      </w:r>
      <w:r>
        <w:rPr>
          <w:rFonts w:hint="eastAsia" w:ascii="宋体" w:hAnsi="宋体"/>
          <w:color w:val="auto"/>
          <w:sz w:val="24"/>
          <w:u w:val="none"/>
          <w:lang w:eastAsia="zh-CN"/>
        </w:rPr>
        <w:t>物</w:t>
      </w:r>
      <w:r>
        <w:rPr>
          <w:rFonts w:hint="eastAsia" w:ascii="宋体" w:hAnsi="宋体"/>
          <w:color w:val="auto"/>
          <w:sz w:val="24"/>
          <w:u w:val="none"/>
        </w:rPr>
        <w:t>的现状交付给</w:t>
      </w:r>
      <w:r>
        <w:rPr>
          <w:rFonts w:hint="eastAsia" w:ascii="宋体" w:hAnsi="宋体"/>
          <w:color w:val="auto"/>
          <w:sz w:val="24"/>
          <w:u w:val="none"/>
          <w:lang w:eastAsia="zh-CN"/>
        </w:rPr>
        <w:t>买受人</w:t>
      </w:r>
      <w:r>
        <w:rPr>
          <w:rFonts w:hint="eastAsia" w:ascii="宋体" w:hAnsi="宋体"/>
          <w:color w:val="auto"/>
          <w:sz w:val="24"/>
          <w:u w:val="none"/>
        </w:rPr>
        <w:t>使用，涉及经营的相关证照由</w:t>
      </w:r>
      <w:r>
        <w:rPr>
          <w:rFonts w:hint="eastAsia" w:ascii="宋体" w:hAnsi="宋体"/>
          <w:color w:val="auto"/>
          <w:sz w:val="24"/>
          <w:u w:val="none"/>
          <w:lang w:eastAsia="zh-CN"/>
        </w:rPr>
        <w:t>买受人</w:t>
      </w:r>
      <w:r>
        <w:rPr>
          <w:rFonts w:hint="eastAsia" w:ascii="宋体" w:hAnsi="宋体"/>
          <w:color w:val="auto"/>
          <w:sz w:val="24"/>
          <w:u w:val="none"/>
        </w:rPr>
        <w:t>自行向有关部门申请办理</w:t>
      </w:r>
      <w:r>
        <w:rPr>
          <w:rFonts w:hint="eastAsia" w:ascii="宋体" w:hAnsi="宋体"/>
          <w:color w:val="auto"/>
          <w:sz w:val="24"/>
          <w:u w:val="none"/>
          <w:lang w:eastAsia="zh-CN"/>
        </w:rPr>
        <w:t>（如买受人是个人：以标的物注册营业执照，该执照登记的法定代表人、负责人或经营者须与买受人姓名相一致；如买受人是单位：以标的物注册营业执照，该执照登记的单位名称须与买受人名称相一致，或为买受人分支机构）</w:t>
      </w:r>
      <w:r>
        <w:rPr>
          <w:rFonts w:hint="eastAsia" w:ascii="宋体" w:hAnsi="宋体"/>
          <w:color w:val="auto"/>
          <w:sz w:val="24"/>
          <w:u w:val="none"/>
        </w:rPr>
        <w:t>，涉及的各项税费等由</w:t>
      </w:r>
      <w:r>
        <w:rPr>
          <w:rFonts w:hint="eastAsia" w:ascii="宋体" w:hAnsi="宋体"/>
          <w:color w:val="auto"/>
          <w:sz w:val="24"/>
          <w:u w:val="none"/>
          <w:lang w:eastAsia="zh-CN"/>
        </w:rPr>
        <w:t>买受人</w:t>
      </w:r>
      <w:r>
        <w:rPr>
          <w:rFonts w:hint="eastAsia" w:ascii="宋体" w:hAnsi="宋体"/>
          <w:color w:val="auto"/>
          <w:sz w:val="24"/>
          <w:u w:val="none"/>
        </w:rPr>
        <w:t>自行承担，与</w:t>
      </w:r>
      <w:r>
        <w:rPr>
          <w:rFonts w:hint="eastAsia" w:ascii="宋体" w:hAnsi="宋体"/>
          <w:color w:val="auto"/>
          <w:sz w:val="24"/>
          <w:u w:val="none"/>
          <w:lang w:eastAsia="zh-CN"/>
        </w:rPr>
        <w:t>委托人</w:t>
      </w:r>
      <w:r>
        <w:rPr>
          <w:rFonts w:hint="eastAsia" w:ascii="宋体" w:hAnsi="宋体"/>
          <w:color w:val="auto"/>
          <w:sz w:val="24"/>
          <w:u w:val="none"/>
        </w:rPr>
        <w:t>无涉</w:t>
      </w:r>
      <w:r>
        <w:rPr>
          <w:rFonts w:hint="eastAsia"/>
          <w:color w:val="auto"/>
          <w:sz w:val="24"/>
          <w:u w:val="none"/>
        </w:rPr>
        <w:t>。</w:t>
      </w:r>
      <w:r>
        <w:rPr>
          <w:rFonts w:hint="eastAsia" w:ascii="宋体" w:hAnsi="宋体"/>
          <w:color w:val="auto"/>
          <w:sz w:val="24"/>
          <w:u w:val="none"/>
          <w:lang w:eastAsia="zh-CN"/>
        </w:rPr>
        <w:t>证照办理完成后，买受人须及时向委托人报备，否则属买受人违约；发生不利后果均由买受人承担。如因建设、消防、环保、卫生、市场监督管理、城市综合管理或者不可抗力等因素导致买受人无法开业或者营业的，委托人不负任何责任。</w:t>
      </w:r>
    </w:p>
    <w:p w14:paraId="0C8A612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sz w:val="24"/>
          <w:u w:val="none"/>
        </w:rPr>
      </w:pPr>
      <w:r>
        <w:rPr>
          <w:rFonts w:hint="eastAsia" w:ascii="宋体" w:hAnsi="宋体"/>
          <w:color w:val="auto"/>
          <w:sz w:val="24"/>
          <w:u w:val="none"/>
        </w:rPr>
        <w:t>（</w:t>
      </w:r>
      <w:r>
        <w:rPr>
          <w:rFonts w:hint="eastAsia" w:ascii="宋体" w:hAnsi="宋体"/>
          <w:color w:val="auto"/>
          <w:sz w:val="24"/>
          <w:u w:val="none"/>
          <w:lang w:eastAsia="zh-CN"/>
        </w:rPr>
        <w:t>六</w:t>
      </w:r>
      <w:r>
        <w:rPr>
          <w:rFonts w:hint="eastAsia" w:ascii="宋体" w:hAnsi="宋体"/>
          <w:color w:val="auto"/>
          <w:sz w:val="24"/>
          <w:u w:val="none"/>
        </w:rPr>
        <w:t>）</w:t>
      </w:r>
      <w:r>
        <w:rPr>
          <w:rFonts w:hint="eastAsia" w:ascii="宋体" w:hAnsi="宋体"/>
          <w:color w:val="auto"/>
          <w:sz w:val="24"/>
          <w:u w:val="none"/>
          <w:lang w:eastAsia="zh-CN"/>
        </w:rPr>
        <w:t>买受人</w:t>
      </w:r>
      <w:r>
        <w:rPr>
          <w:rFonts w:hint="eastAsia" w:ascii="宋体" w:hAnsi="宋体"/>
          <w:color w:val="auto"/>
          <w:sz w:val="24"/>
          <w:u w:val="none"/>
        </w:rPr>
        <w:t>的经营范围必须符合法律法规、规章等相关规定，不得从事影响周边环境和房屋安全的活动，同时在经营或装修过程中应当做好防水、防火、隔热、降噪等基本措施，不得产生超过环保标准的噪音和污染。</w:t>
      </w:r>
    </w:p>
    <w:p w14:paraId="7D7A57E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u w:val="none"/>
          <w:lang w:eastAsia="zh-CN"/>
        </w:rPr>
      </w:pPr>
      <w:r>
        <w:rPr>
          <w:rFonts w:hint="eastAsia"/>
          <w:color w:val="auto"/>
          <w:sz w:val="24"/>
          <w:u w:val="none"/>
          <w:lang w:eastAsia="zh-CN"/>
        </w:rPr>
        <w:t>（七）买受人不得在标的物内任意改变主体结构，需要对标的物进行装修的，由买受人报送相关技术等部门，特别是消防等职能部门审批同意后，方可对标的物按规定进行装修，由此产生的费用和责任均由买受人承担。买受人在装修期间须谨慎作业、安全施工，确保各项安全措施，尽量降低对相邻租户和周边居民、企事业单位的影响。</w:t>
      </w:r>
    </w:p>
    <w:p w14:paraId="48E01D7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b w:val="0"/>
          <w:bCs w:val="0"/>
          <w:color w:val="auto"/>
          <w:sz w:val="24"/>
          <w:u w:val="none"/>
          <w:lang w:eastAsia="zh-CN"/>
        </w:rPr>
      </w:pPr>
      <w:r>
        <w:rPr>
          <w:rFonts w:hint="eastAsia" w:cs="Times New Roman"/>
          <w:b w:val="0"/>
          <w:bCs w:val="0"/>
          <w:color w:val="auto"/>
          <w:sz w:val="24"/>
          <w:u w:val="none"/>
          <w:lang w:eastAsia="zh-CN"/>
        </w:rPr>
        <w:t>（八）买受人</w:t>
      </w:r>
      <w:r>
        <w:rPr>
          <w:rFonts w:hint="eastAsia" w:ascii="Times New Roman" w:hAnsi="Times New Roman" w:eastAsia="宋体" w:cs="Times New Roman"/>
          <w:b w:val="0"/>
          <w:bCs w:val="0"/>
          <w:color w:val="auto"/>
          <w:sz w:val="24"/>
          <w:u w:val="none"/>
          <w:lang w:eastAsia="zh-CN"/>
        </w:rPr>
        <w:t>负责</w:t>
      </w:r>
      <w:r>
        <w:rPr>
          <w:rFonts w:hint="eastAsia" w:cs="Times New Roman"/>
          <w:b w:val="0"/>
          <w:bCs w:val="0"/>
          <w:color w:val="auto"/>
          <w:sz w:val="24"/>
          <w:u w:val="none"/>
          <w:lang w:eastAsia="zh-CN"/>
        </w:rPr>
        <w:t>标的物</w:t>
      </w:r>
      <w:r>
        <w:rPr>
          <w:rFonts w:hint="eastAsia" w:ascii="Times New Roman" w:hAnsi="Times New Roman" w:eastAsia="宋体" w:cs="Times New Roman"/>
          <w:b w:val="0"/>
          <w:bCs w:val="0"/>
          <w:color w:val="auto"/>
          <w:sz w:val="24"/>
          <w:u w:val="none"/>
          <w:lang w:eastAsia="zh-CN"/>
        </w:rPr>
        <w:t>的正常维修和维护，并承担一切费用，但主体结构或非</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lang w:eastAsia="zh-CN"/>
        </w:rPr>
        <w:t>过错导致墙体开裂情况由</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lang w:eastAsia="zh-CN"/>
        </w:rPr>
        <w:t>进行维修。</w:t>
      </w:r>
    </w:p>
    <w:p w14:paraId="3F540BB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b w:val="0"/>
          <w:bCs w:val="0"/>
          <w:color w:val="auto"/>
          <w:sz w:val="24"/>
          <w:u w:val="none"/>
          <w:lang w:eastAsia="zh-CN"/>
        </w:rPr>
      </w:pPr>
      <w:r>
        <w:rPr>
          <w:rFonts w:hint="eastAsia" w:ascii="Times New Roman" w:hAnsi="Times New Roman" w:eastAsia="宋体" w:cs="Times New Roman"/>
          <w:b w:val="0"/>
          <w:bCs w:val="0"/>
          <w:color w:val="auto"/>
          <w:sz w:val="24"/>
          <w:u w:val="none"/>
          <w:lang w:eastAsia="zh-CN"/>
        </w:rPr>
        <w:t>（</w:t>
      </w:r>
      <w:r>
        <w:rPr>
          <w:rFonts w:hint="eastAsia" w:cs="Times New Roman"/>
          <w:b w:val="0"/>
          <w:bCs w:val="0"/>
          <w:color w:val="auto"/>
          <w:sz w:val="24"/>
          <w:u w:val="none"/>
          <w:lang w:eastAsia="zh-CN"/>
        </w:rPr>
        <w:t>九</w:t>
      </w:r>
      <w:r>
        <w:rPr>
          <w:rFonts w:hint="eastAsia" w:ascii="Times New Roman" w:hAnsi="Times New Roman" w:eastAsia="宋体" w:cs="Times New Roman"/>
          <w:b w:val="0"/>
          <w:bCs w:val="0"/>
          <w:color w:val="auto"/>
          <w:sz w:val="24"/>
          <w:u w:val="none"/>
          <w:lang w:eastAsia="zh-CN"/>
        </w:rPr>
        <w:t>）</w:t>
      </w:r>
      <w:r>
        <w:rPr>
          <w:rFonts w:hint="eastAsia" w:ascii="Times New Roman" w:hAnsi="Times New Roman" w:eastAsia="宋体" w:cs="Times New Roman"/>
          <w:b w:val="0"/>
          <w:bCs w:val="0"/>
          <w:color w:val="auto"/>
          <w:sz w:val="24"/>
          <w:u w:val="none"/>
          <w:lang w:val="en-US" w:eastAsia="zh-CN"/>
        </w:rPr>
        <w:t>买受人应当严格按照有关部门管理规定做好消防、环保等相关工作，因工作措施不到位而产生责任事故的，该事故责任及经济损失（包括第三人的人身损害和财产经济损害）由买受人承担，与</w:t>
      </w:r>
      <w:r>
        <w:rPr>
          <w:rFonts w:hint="eastAsia" w:cs="Times New Roman"/>
          <w:b w:val="0"/>
          <w:bCs w:val="0"/>
          <w:color w:val="auto"/>
          <w:sz w:val="24"/>
          <w:u w:val="none"/>
          <w:lang w:val="en-US" w:eastAsia="zh-CN"/>
        </w:rPr>
        <w:t>委托人</w:t>
      </w:r>
      <w:r>
        <w:rPr>
          <w:rFonts w:hint="eastAsia" w:ascii="Times New Roman" w:hAnsi="Times New Roman" w:eastAsia="宋体" w:cs="Times New Roman"/>
          <w:b w:val="0"/>
          <w:bCs w:val="0"/>
          <w:color w:val="auto"/>
          <w:sz w:val="24"/>
          <w:u w:val="none"/>
          <w:lang w:val="en-US" w:eastAsia="zh-CN"/>
        </w:rPr>
        <w:t>无涉。</w:t>
      </w:r>
    </w:p>
    <w:p w14:paraId="0B07F24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s="Times New Roman"/>
          <w:b w:val="0"/>
          <w:bCs w:val="0"/>
          <w:color w:val="auto"/>
          <w:sz w:val="24"/>
          <w:u w:val="none"/>
          <w:lang w:val="en-US" w:eastAsia="zh-CN"/>
        </w:rPr>
      </w:pPr>
      <w:r>
        <w:rPr>
          <w:rFonts w:hint="eastAsia" w:ascii="Times New Roman" w:hAnsi="Times New Roman" w:eastAsia="宋体" w:cs="Times New Roman"/>
          <w:b w:val="0"/>
          <w:bCs w:val="0"/>
          <w:color w:val="auto"/>
          <w:sz w:val="24"/>
          <w:u w:val="none"/>
          <w:lang w:eastAsia="zh-CN"/>
        </w:rPr>
        <w:t>（</w:t>
      </w:r>
      <w:r>
        <w:rPr>
          <w:rFonts w:hint="eastAsia" w:cs="Times New Roman"/>
          <w:b w:val="0"/>
          <w:bCs w:val="0"/>
          <w:color w:val="auto"/>
          <w:sz w:val="24"/>
          <w:u w:val="none"/>
          <w:lang w:eastAsia="zh-CN"/>
        </w:rPr>
        <w:t>十</w:t>
      </w:r>
      <w:r>
        <w:rPr>
          <w:rFonts w:hint="eastAsia" w:ascii="Times New Roman" w:hAnsi="Times New Roman" w:eastAsia="宋体" w:cs="Times New Roman"/>
          <w:b w:val="0"/>
          <w:bCs w:val="0"/>
          <w:color w:val="auto"/>
          <w:sz w:val="24"/>
          <w:u w:val="none"/>
          <w:lang w:eastAsia="zh-CN"/>
        </w:rPr>
        <w:t>）租赁期间，如遇政府规划调整等原因需提前收回</w:t>
      </w:r>
      <w:r>
        <w:rPr>
          <w:rFonts w:hint="eastAsia" w:cs="Times New Roman"/>
          <w:b w:val="0"/>
          <w:bCs w:val="0"/>
          <w:color w:val="auto"/>
          <w:sz w:val="24"/>
          <w:u w:val="none"/>
          <w:lang w:eastAsia="zh-CN"/>
        </w:rPr>
        <w:t>标的物</w:t>
      </w:r>
      <w:r>
        <w:rPr>
          <w:rFonts w:hint="eastAsia" w:ascii="Times New Roman" w:hAnsi="Times New Roman" w:eastAsia="宋体" w:cs="Times New Roman"/>
          <w:b w:val="0"/>
          <w:bCs w:val="0"/>
          <w:color w:val="auto"/>
          <w:sz w:val="24"/>
          <w:u w:val="none"/>
          <w:lang w:eastAsia="zh-CN"/>
        </w:rPr>
        <w:t>的，</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lang w:eastAsia="zh-CN"/>
        </w:rPr>
        <w:t>有权解除合同，但须提前2个月书面通知</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lang w:eastAsia="zh-CN"/>
        </w:rPr>
        <w:t>；</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lang w:eastAsia="zh-CN"/>
        </w:rPr>
        <w:t>应无条件服从并及时归还</w:t>
      </w:r>
      <w:r>
        <w:rPr>
          <w:rFonts w:hint="eastAsia" w:cs="Times New Roman"/>
          <w:b w:val="0"/>
          <w:bCs w:val="0"/>
          <w:color w:val="auto"/>
          <w:sz w:val="24"/>
          <w:u w:val="none"/>
          <w:lang w:eastAsia="zh-CN"/>
        </w:rPr>
        <w:t>标的物</w:t>
      </w:r>
      <w:r>
        <w:rPr>
          <w:rFonts w:hint="eastAsia" w:ascii="Times New Roman" w:hAnsi="Times New Roman" w:eastAsia="宋体" w:cs="Times New Roman"/>
          <w:b w:val="0"/>
          <w:bCs w:val="0"/>
          <w:color w:val="auto"/>
          <w:sz w:val="24"/>
          <w:u w:val="none"/>
          <w:lang w:eastAsia="zh-CN"/>
        </w:rPr>
        <w:t>，</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lang w:eastAsia="zh-CN"/>
        </w:rPr>
        <w:t>不承担任何形式的补偿。剩余租金（从</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lang w:eastAsia="zh-CN"/>
        </w:rPr>
        <w:t>实际归还</w:t>
      </w:r>
      <w:r>
        <w:rPr>
          <w:rFonts w:hint="eastAsia" w:cs="Times New Roman"/>
          <w:b w:val="0"/>
          <w:bCs w:val="0"/>
          <w:color w:val="auto"/>
          <w:sz w:val="24"/>
          <w:u w:val="none"/>
          <w:lang w:eastAsia="zh-CN"/>
        </w:rPr>
        <w:t>标的物</w:t>
      </w:r>
      <w:r>
        <w:rPr>
          <w:rFonts w:hint="eastAsia" w:ascii="Times New Roman" w:hAnsi="Times New Roman" w:eastAsia="宋体" w:cs="Times New Roman"/>
          <w:b w:val="0"/>
          <w:bCs w:val="0"/>
          <w:color w:val="auto"/>
          <w:sz w:val="24"/>
          <w:u w:val="none"/>
          <w:lang w:eastAsia="zh-CN"/>
        </w:rPr>
        <w:t>之日起，按日计算）和履约保证金（按交款当日的银行同期活期存款利率计息）予以返还。</w:t>
      </w:r>
    </w:p>
    <w:p w14:paraId="3EB6099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imes New Roman" w:hAnsi="Times New Roman" w:eastAsia="宋体" w:cs="Times New Roman"/>
          <w:b w:val="0"/>
          <w:bCs w:val="0"/>
          <w:color w:val="auto"/>
          <w:sz w:val="24"/>
          <w:u w:val="none"/>
        </w:rPr>
      </w:pPr>
      <w:r>
        <w:rPr>
          <w:rFonts w:hint="eastAsia" w:ascii="Times New Roman" w:hAnsi="Times New Roman" w:eastAsia="宋体" w:cs="Times New Roman"/>
          <w:b w:val="0"/>
          <w:bCs w:val="0"/>
          <w:color w:val="auto"/>
          <w:sz w:val="24"/>
          <w:u w:val="none"/>
        </w:rPr>
        <w:t>（</w:t>
      </w:r>
      <w:r>
        <w:rPr>
          <w:rFonts w:hint="eastAsia" w:cs="Times New Roman"/>
          <w:b w:val="0"/>
          <w:bCs w:val="0"/>
          <w:color w:val="auto"/>
          <w:sz w:val="24"/>
          <w:u w:val="none"/>
          <w:lang w:val="en-US" w:eastAsia="zh-CN"/>
        </w:rPr>
        <w:t>十一</w:t>
      </w:r>
      <w:r>
        <w:rPr>
          <w:rFonts w:hint="eastAsia" w:ascii="Times New Roman" w:hAnsi="Times New Roman" w:eastAsia="宋体" w:cs="Times New Roman"/>
          <w:b w:val="0"/>
          <w:bCs w:val="0"/>
          <w:color w:val="auto"/>
          <w:sz w:val="24"/>
          <w:u w:val="none"/>
        </w:rPr>
        <w:t>）租赁期满或合同提前解除时，</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返还</w:t>
      </w:r>
      <w:r>
        <w:rPr>
          <w:rFonts w:hint="eastAsia" w:cs="Times New Roman"/>
          <w:b w:val="0"/>
          <w:bCs w:val="0"/>
          <w:color w:val="auto"/>
          <w:sz w:val="24"/>
          <w:u w:val="none"/>
          <w:lang w:eastAsia="zh-CN"/>
        </w:rPr>
        <w:t>标的物</w:t>
      </w:r>
      <w:r>
        <w:rPr>
          <w:rFonts w:hint="eastAsia" w:ascii="Times New Roman" w:hAnsi="Times New Roman" w:eastAsia="宋体" w:cs="Times New Roman"/>
          <w:b w:val="0"/>
          <w:bCs w:val="0"/>
          <w:color w:val="auto"/>
          <w:sz w:val="24"/>
          <w:u w:val="none"/>
        </w:rPr>
        <w:t>时应当符合</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rPr>
        <w:t>出租给</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时的状态。返还时，应经</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rPr>
        <w:t>验收认可，并互相结清各自应当承担的费用。</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有权将投资的动产自行处理，固定装饰物所有权归</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rPr>
        <w:t>所有，且</w:t>
      </w:r>
      <w:r>
        <w:rPr>
          <w:rFonts w:hint="eastAsia" w:cs="Times New Roman"/>
          <w:b w:val="0"/>
          <w:bCs w:val="0"/>
          <w:color w:val="auto"/>
          <w:sz w:val="24"/>
          <w:u w:val="none"/>
          <w:lang w:eastAsia="zh-CN"/>
        </w:rPr>
        <w:t>委托人</w:t>
      </w:r>
      <w:r>
        <w:rPr>
          <w:rFonts w:hint="eastAsia" w:ascii="Times New Roman" w:hAnsi="Times New Roman" w:eastAsia="宋体" w:cs="Times New Roman"/>
          <w:b w:val="0"/>
          <w:bCs w:val="0"/>
          <w:color w:val="auto"/>
          <w:sz w:val="24"/>
          <w:u w:val="none"/>
        </w:rPr>
        <w:t>不做任何经济补偿。</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搬迁期限为租赁期满或合同提前解除后10天以内，</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逾期未搬的，双方约定建筑物内所有动产视为</w:t>
      </w:r>
      <w:r>
        <w:rPr>
          <w:rFonts w:hint="eastAsia" w:cs="Times New Roman"/>
          <w:b w:val="0"/>
          <w:bCs w:val="0"/>
          <w:color w:val="auto"/>
          <w:sz w:val="24"/>
          <w:u w:val="none"/>
          <w:lang w:eastAsia="zh-CN"/>
        </w:rPr>
        <w:t>买受人</w:t>
      </w:r>
      <w:r>
        <w:rPr>
          <w:rFonts w:hint="eastAsia" w:ascii="Times New Roman" w:hAnsi="Times New Roman" w:eastAsia="宋体" w:cs="Times New Roman"/>
          <w:b w:val="0"/>
          <w:bCs w:val="0"/>
          <w:color w:val="auto"/>
          <w:sz w:val="24"/>
          <w:u w:val="none"/>
        </w:rPr>
        <w:t>废弃物予以处理。</w:t>
      </w:r>
    </w:p>
    <w:p w14:paraId="5C99E58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b w:val="0"/>
          <w:bCs w:val="0"/>
          <w:color w:val="auto"/>
          <w:kern w:val="0"/>
          <w:sz w:val="24"/>
          <w:u w:val="none"/>
        </w:rPr>
      </w:pPr>
      <w:r>
        <w:rPr>
          <w:rFonts w:hint="eastAsia" w:ascii="宋体" w:hAnsi="宋体" w:cs="宋体"/>
          <w:b w:val="0"/>
          <w:bCs w:val="0"/>
          <w:color w:val="auto"/>
          <w:kern w:val="0"/>
          <w:sz w:val="24"/>
          <w:u w:val="none"/>
        </w:rPr>
        <w:t>（</w:t>
      </w:r>
      <w:r>
        <w:rPr>
          <w:rFonts w:hint="eastAsia" w:ascii="宋体" w:hAnsi="宋体" w:cs="宋体"/>
          <w:b w:val="0"/>
          <w:bCs w:val="0"/>
          <w:color w:val="auto"/>
          <w:kern w:val="0"/>
          <w:sz w:val="24"/>
          <w:u w:val="none"/>
          <w:lang w:eastAsia="zh-CN"/>
        </w:rPr>
        <w:t>十二</w:t>
      </w:r>
      <w:r>
        <w:rPr>
          <w:rFonts w:hint="eastAsia" w:ascii="宋体" w:hAnsi="宋体" w:cs="宋体"/>
          <w:b w:val="0"/>
          <w:bCs w:val="0"/>
          <w:color w:val="auto"/>
          <w:kern w:val="0"/>
          <w:sz w:val="24"/>
          <w:u w:val="none"/>
        </w:rPr>
        <w:t>）其他内容详见</w:t>
      </w:r>
      <w:r>
        <w:rPr>
          <w:rFonts w:hint="eastAsia" w:ascii="宋体" w:hAnsi="宋体" w:cs="宋体"/>
          <w:b w:val="0"/>
          <w:bCs w:val="0"/>
          <w:color w:val="auto"/>
          <w:kern w:val="0"/>
          <w:sz w:val="24"/>
          <w:u w:val="none"/>
          <w:lang w:eastAsia="zh-CN"/>
        </w:rPr>
        <w:t>附件</w:t>
      </w:r>
      <w:r>
        <w:rPr>
          <w:rFonts w:hint="eastAsia" w:ascii="宋体" w:hAnsi="宋体" w:cs="宋体"/>
          <w:b w:val="0"/>
          <w:bCs w:val="0"/>
          <w:color w:val="auto"/>
          <w:kern w:val="0"/>
          <w:sz w:val="24"/>
          <w:u w:val="none"/>
        </w:rPr>
        <w:t>《余姚市非住宅直管公房租赁合同</w:t>
      </w:r>
      <w:r>
        <w:rPr>
          <w:rFonts w:hint="eastAsia" w:ascii="宋体" w:hAnsi="宋体" w:cs="宋体"/>
          <w:b w:val="0"/>
          <w:bCs w:val="0"/>
          <w:color w:val="auto"/>
          <w:kern w:val="0"/>
          <w:sz w:val="24"/>
          <w:u w:val="none"/>
          <w:lang w:eastAsia="zh-CN"/>
        </w:rPr>
        <w:t>（样本）</w:t>
      </w:r>
      <w:r>
        <w:rPr>
          <w:rFonts w:hint="eastAsia" w:ascii="宋体" w:hAnsi="宋体" w:cs="宋体"/>
          <w:b w:val="0"/>
          <w:bCs w:val="0"/>
          <w:color w:val="auto"/>
          <w:kern w:val="0"/>
          <w:sz w:val="24"/>
          <w:u w:val="none"/>
        </w:rPr>
        <w:t>》。</w:t>
      </w:r>
      <w:bookmarkEnd w:id="1"/>
    </w:p>
    <w:p w14:paraId="42BEE1FD">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jc w:val="center"/>
        <w:textAlignment w:val="auto"/>
        <w:rPr>
          <w:rFonts w:ascii="宋体" w:hAnsi="宋体"/>
          <w:b/>
          <w:color w:val="auto"/>
          <w:sz w:val="28"/>
          <w:szCs w:val="28"/>
          <w:u w:val="none"/>
        </w:rPr>
      </w:pPr>
      <w:r>
        <w:rPr>
          <w:rFonts w:hint="eastAsia" w:ascii="宋体" w:hAnsi="宋体"/>
          <w:b/>
          <w:color w:val="auto"/>
          <w:sz w:val="28"/>
          <w:szCs w:val="28"/>
          <w:u w:val="none"/>
        </w:rPr>
        <w:t>拍卖前期活动</w:t>
      </w:r>
    </w:p>
    <w:p w14:paraId="7DB33A3C">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2" w:firstLineChars="200"/>
        <w:textAlignment w:val="auto"/>
        <w:rPr>
          <w:rFonts w:ascii="宋体" w:hAnsi="宋体"/>
          <w:color w:val="auto"/>
          <w:sz w:val="24"/>
          <w:u w:val="none"/>
        </w:rPr>
      </w:pPr>
      <w:r>
        <w:rPr>
          <w:rFonts w:hint="eastAsia" w:ascii="宋体" w:hAnsi="宋体"/>
          <w:b/>
          <w:color w:val="auto"/>
          <w:sz w:val="24"/>
          <w:u w:val="none"/>
        </w:rPr>
        <w:t xml:space="preserve">第六条 </w:t>
      </w:r>
      <w:r>
        <w:rPr>
          <w:rFonts w:hint="eastAsia" w:ascii="宋体" w:hAnsi="宋体"/>
          <w:color w:val="auto"/>
          <w:sz w:val="24"/>
          <w:u w:val="none"/>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52B873B3">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u w:val="none"/>
        </w:rPr>
      </w:pPr>
      <w:r>
        <w:rPr>
          <w:rFonts w:hint="eastAsia" w:ascii="宋体" w:hAnsi="宋体"/>
          <w:color w:val="auto"/>
          <w:sz w:val="24"/>
          <w:u w:val="none"/>
        </w:rPr>
        <w:t>若拍卖文件需要修正或补充的，拍卖人可以在举行拍卖会之前告知竞买人。如修正或补充内容涉及实质性变化的，须重新计算公告期。竞买人一经参拍或应价的，均视为已接受此修正或补充。</w:t>
      </w:r>
    </w:p>
    <w:p w14:paraId="6EAEA8D7">
      <w:pPr>
        <w:keepNext w:val="0"/>
        <w:keepLines w:val="0"/>
        <w:pageBreakBefore w:val="0"/>
        <w:widowControl w:val="0"/>
        <w:tabs>
          <w:tab w:val="left" w:pos="1995"/>
        </w:tabs>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u w:val="none"/>
        </w:rPr>
      </w:pPr>
      <w:r>
        <w:rPr>
          <w:rFonts w:hint="eastAsia" w:ascii="宋体" w:hAnsi="宋体"/>
          <w:color w:val="auto"/>
          <w:sz w:val="24"/>
          <w:u w:val="none"/>
        </w:rPr>
        <w:t>在拍卖会举行前，如委托人决定中止、暂缓或终止委托拍卖的，则竞买人应当无条件</w:t>
      </w:r>
      <w:r>
        <w:rPr>
          <w:rFonts w:hint="eastAsia" w:ascii="宋体" w:hAnsi="宋体"/>
          <w:color w:val="auto"/>
          <w:sz w:val="24"/>
          <w:u w:val="none"/>
          <w:lang w:eastAsia="zh-CN"/>
        </w:rPr>
        <w:t>地</w:t>
      </w:r>
      <w:r>
        <w:rPr>
          <w:rFonts w:hint="eastAsia" w:ascii="宋体" w:hAnsi="宋体"/>
          <w:color w:val="auto"/>
          <w:sz w:val="24"/>
          <w:u w:val="none"/>
        </w:rPr>
        <w:t>予以接受，交纳的竞买保证金</w:t>
      </w:r>
      <w:r>
        <w:rPr>
          <w:rFonts w:hint="eastAsia" w:ascii="宋体" w:hAnsi="宋体"/>
          <w:color w:val="auto"/>
          <w:sz w:val="24"/>
          <w:u w:val="none"/>
          <w:lang w:eastAsia="zh-CN"/>
        </w:rPr>
        <w:t>（</w:t>
      </w:r>
      <w:r>
        <w:rPr>
          <w:rFonts w:hint="eastAsia" w:ascii="宋体" w:hAnsi="宋体"/>
          <w:color w:val="auto"/>
          <w:sz w:val="24"/>
          <w:u w:val="none"/>
          <w:lang w:val="en-US" w:eastAsia="zh-CN"/>
        </w:rPr>
        <w:t>按银行同期活期存款利率计息</w:t>
      </w:r>
      <w:r>
        <w:rPr>
          <w:rFonts w:hint="eastAsia" w:ascii="宋体" w:hAnsi="宋体"/>
          <w:color w:val="auto"/>
          <w:sz w:val="24"/>
          <w:u w:val="none"/>
        </w:rPr>
        <w:t>）予以退还，委托人和拍卖人不承担竞买人的一切损失。</w:t>
      </w:r>
    </w:p>
    <w:p w14:paraId="287FEFE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olor w:val="auto"/>
          <w:sz w:val="24"/>
          <w:u w:val="none"/>
          <w:lang w:val="en-US" w:eastAsia="zh-CN"/>
        </w:rPr>
      </w:pPr>
      <w:r>
        <w:rPr>
          <w:rFonts w:hint="eastAsia" w:ascii="宋体" w:hAnsi="宋体"/>
          <w:b/>
          <w:bCs/>
          <w:color w:val="auto"/>
          <w:sz w:val="24"/>
          <w:u w:val="none"/>
        </w:rPr>
        <w:t>第七条</w:t>
      </w:r>
      <w:r>
        <w:rPr>
          <w:rFonts w:hint="eastAsia" w:ascii="宋体" w:hAnsi="宋体"/>
          <w:color w:val="auto"/>
          <w:sz w:val="24"/>
          <w:u w:val="none"/>
        </w:rPr>
        <w:t xml:space="preserve">  竞买人应在报名登记前按时</w:t>
      </w:r>
      <w:r>
        <w:rPr>
          <w:rFonts w:hint="eastAsia" w:ascii="宋体" w:hAnsi="宋体"/>
          <w:color w:val="auto"/>
          <w:sz w:val="24"/>
          <w:u w:val="none"/>
          <w:lang w:val="en-US" w:eastAsia="zh-CN"/>
        </w:rPr>
        <w:t>、足额交纳竞买保证金（按银行同期活期存款利率计息）。</w:t>
      </w:r>
    </w:p>
    <w:p w14:paraId="0F8A29B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u w:val="none"/>
        </w:rPr>
      </w:pPr>
      <w:r>
        <w:rPr>
          <w:rFonts w:hint="eastAsia" w:ascii="宋体" w:hAnsi="宋体"/>
          <w:color w:val="auto"/>
          <w:sz w:val="24"/>
          <w:u w:val="none"/>
        </w:rPr>
        <w:t>（一）竞买人在竞价平台上注册的账户和密码是参加平台竞价的必要依据，应自行慎重保管，若因转交他人、遗忘或被盗等产生的结果及可能导致的纠纷和经济损失，均由竞买人自行负全责，与拍卖人无涉。</w:t>
      </w:r>
    </w:p>
    <w:p w14:paraId="11B6878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宋体" w:hAnsi="宋体"/>
          <w:b/>
          <w:color w:val="auto"/>
          <w:sz w:val="24"/>
          <w:u w:val="none"/>
        </w:rPr>
      </w:pPr>
      <w:r>
        <w:rPr>
          <w:rFonts w:hint="eastAsia" w:ascii="宋体" w:hAnsi="宋体"/>
          <w:b/>
          <w:bCs/>
          <w:color w:val="auto"/>
          <w:sz w:val="24"/>
          <w:u w:val="none"/>
        </w:rPr>
        <w:t>（二）</w:t>
      </w:r>
      <w:r>
        <w:rPr>
          <w:rFonts w:hint="eastAsia" w:ascii="宋体" w:hAnsi="宋体"/>
          <w:b/>
          <w:color w:val="auto"/>
          <w:sz w:val="24"/>
          <w:u w:val="none"/>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6CA8DE53">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ascii="宋体" w:hAnsi="宋体"/>
          <w:b/>
          <w:color w:val="auto"/>
          <w:sz w:val="28"/>
          <w:szCs w:val="28"/>
          <w:u w:val="none"/>
        </w:rPr>
      </w:pPr>
      <w:r>
        <w:rPr>
          <w:rFonts w:hint="eastAsia" w:ascii="宋体" w:hAnsi="宋体"/>
          <w:b/>
          <w:color w:val="auto"/>
          <w:sz w:val="28"/>
          <w:szCs w:val="28"/>
          <w:u w:val="none"/>
        </w:rPr>
        <w:t>网络拍卖</w:t>
      </w:r>
    </w:p>
    <w:p w14:paraId="74D44CE2">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ascii="宋体" w:hAnsi="宋体"/>
          <w:color w:val="auto"/>
          <w:sz w:val="24"/>
          <w:u w:val="none"/>
        </w:rPr>
      </w:pPr>
      <w:r>
        <w:rPr>
          <w:rFonts w:ascii="宋体" w:hAnsi="宋体"/>
          <w:b/>
          <w:bCs/>
          <w:color w:val="auto"/>
          <w:sz w:val="24"/>
          <w:u w:val="none"/>
        </w:rPr>
        <w:t>第</w:t>
      </w:r>
      <w:r>
        <w:rPr>
          <w:rFonts w:hint="eastAsia" w:ascii="宋体" w:hAnsi="宋体"/>
          <w:b/>
          <w:bCs/>
          <w:color w:val="auto"/>
          <w:sz w:val="24"/>
          <w:u w:val="none"/>
        </w:rPr>
        <w:t>八</w:t>
      </w:r>
      <w:r>
        <w:rPr>
          <w:rFonts w:ascii="宋体" w:hAnsi="宋体"/>
          <w:b/>
          <w:bCs/>
          <w:color w:val="auto"/>
          <w:sz w:val="24"/>
          <w:u w:val="none"/>
        </w:rPr>
        <w:t>条</w:t>
      </w:r>
      <w:r>
        <w:rPr>
          <w:rFonts w:ascii="宋体" w:hAnsi="宋体"/>
          <w:color w:val="auto"/>
          <w:sz w:val="24"/>
          <w:u w:val="none"/>
        </w:rPr>
        <w:t xml:space="preserve"> </w:t>
      </w:r>
      <w:r>
        <w:rPr>
          <w:rFonts w:hint="eastAsia" w:ascii="宋体" w:hAnsi="宋体"/>
          <w:color w:val="auto"/>
          <w:sz w:val="24"/>
          <w:u w:val="none"/>
        </w:rPr>
        <w:t xml:space="preserve"> 本次拍卖标的经过规定的网络发布公告，并经实地展示，在“宁波阳明拍卖有限公司网络拍卖平台”进行公开拍卖。</w:t>
      </w:r>
    </w:p>
    <w:p w14:paraId="739741EC">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ascii="宋体" w:hAnsi="宋体"/>
          <w:b/>
          <w:color w:val="auto"/>
          <w:sz w:val="24"/>
          <w:u w:val="none"/>
        </w:rPr>
      </w:pPr>
      <w:r>
        <w:rPr>
          <w:rFonts w:hint="eastAsia" w:ascii="宋体" w:hAnsi="宋体"/>
          <w:b/>
          <w:color w:val="auto"/>
          <w:sz w:val="24"/>
          <w:u w:val="none"/>
        </w:rPr>
        <w:t>温馨提示：①在竞价前，竞买人应选择良好的网络环境下进行电脑操作；②在竞价过程中，竞买人应仔细核对报价金额是否有误；③为确保竞价过程顺利进行，应适时刷新页面。</w:t>
      </w:r>
    </w:p>
    <w:p w14:paraId="2729C43E">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color w:val="auto"/>
          <w:sz w:val="24"/>
          <w:u w:val="none"/>
        </w:rPr>
      </w:pPr>
      <w:r>
        <w:rPr>
          <w:rFonts w:hint="eastAsia" w:ascii="宋体" w:hAnsi="宋体"/>
          <w:color w:val="auto"/>
          <w:sz w:val="24"/>
          <w:u w:val="none"/>
        </w:rPr>
        <w:t>本次拍卖采用“网络拍卖”的方式，价高者得的原则，</w:t>
      </w:r>
      <w:r>
        <w:rPr>
          <w:rFonts w:hint="eastAsia" w:ascii="宋体" w:hAnsi="宋体" w:eastAsia="宋体" w:cs="宋体"/>
          <w:bCs/>
          <w:color w:val="auto"/>
          <w:kern w:val="0"/>
          <w:sz w:val="24"/>
          <w:szCs w:val="24"/>
        </w:rPr>
        <w:t>产生最终买受人</w:t>
      </w:r>
      <w:r>
        <w:rPr>
          <w:rFonts w:hint="eastAsia" w:ascii="宋体" w:hAnsi="宋体"/>
          <w:color w:val="auto"/>
          <w:sz w:val="24"/>
          <w:u w:val="none"/>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1C485B88">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color w:val="auto"/>
          <w:sz w:val="24"/>
        </w:rPr>
      </w:pPr>
      <w:r>
        <w:rPr>
          <w:rFonts w:hint="eastAsia" w:ascii="宋体" w:hAnsi="宋体"/>
          <w:color w:val="auto"/>
          <w:sz w:val="24"/>
        </w:rPr>
        <w:t>若本次拍卖有优先权人参加，具有优先权的竞买人可在竞价时间内，对当前</w:t>
      </w:r>
      <w:r>
        <w:rPr>
          <w:rFonts w:hint="eastAsia" w:ascii="宋体" w:hAnsi="宋体"/>
          <w:color w:val="auto"/>
          <w:sz w:val="24"/>
          <w:lang w:eastAsia="zh-CN"/>
        </w:rPr>
        <w:t>价格</w:t>
      </w:r>
      <w:r>
        <w:rPr>
          <w:rFonts w:hint="eastAsia" w:ascii="宋体" w:hAnsi="宋体"/>
          <w:color w:val="auto"/>
          <w:sz w:val="24"/>
        </w:rPr>
        <w:t>行使优先权或出更高的价格。如优先权人未出价的，则视为该优先权人自动放弃优先权。</w:t>
      </w:r>
    </w:p>
    <w:p w14:paraId="07B08176">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hint="eastAsia" w:ascii="宋体" w:hAnsi="宋体"/>
          <w:color w:val="auto"/>
          <w:sz w:val="24"/>
        </w:rPr>
      </w:pPr>
      <w:r>
        <w:rPr>
          <w:rFonts w:hint="eastAsia" w:ascii="宋体" w:hAnsi="宋体"/>
          <w:color w:val="auto"/>
          <w:sz w:val="24"/>
        </w:rPr>
        <w:t>如当前最高应价者为优先权人的，则买受人为优先权人；如有更高应价，且优先权人不再出价的，则买受人为该应价最高的竞买人。</w:t>
      </w:r>
    </w:p>
    <w:p w14:paraId="625335A5">
      <w:pPr>
        <w:keepNext w:val="0"/>
        <w:keepLines w:val="0"/>
        <w:pageBreakBefore w:val="0"/>
        <w:widowControl w:val="0"/>
        <w:kinsoku/>
        <w:wordWrap/>
        <w:overflowPunct/>
        <w:topLinePunct w:val="0"/>
        <w:autoSpaceDE/>
        <w:autoSpaceDN/>
        <w:bidi w:val="0"/>
        <w:adjustRightInd/>
        <w:snapToGrid w:val="0"/>
        <w:spacing w:line="460" w:lineRule="exact"/>
        <w:ind w:firstLine="482"/>
        <w:jc w:val="left"/>
        <w:textAlignment w:val="auto"/>
        <w:rPr>
          <w:rFonts w:ascii="宋体" w:hAnsi="宋体"/>
          <w:color w:val="auto"/>
          <w:sz w:val="24"/>
          <w:u w:val="none"/>
        </w:rPr>
      </w:pPr>
      <w:r>
        <w:rPr>
          <w:rFonts w:hint="eastAsia" w:ascii="宋体" w:hAnsi="宋体"/>
          <w:b/>
          <w:bCs/>
          <w:color w:val="auto"/>
          <w:sz w:val="24"/>
          <w:u w:val="none"/>
        </w:rPr>
        <w:t xml:space="preserve">第九条 </w:t>
      </w:r>
      <w:r>
        <w:rPr>
          <w:rFonts w:hint="eastAsia" w:ascii="宋体" w:hAnsi="宋体"/>
          <w:color w:val="auto"/>
          <w:sz w:val="24"/>
          <w:u w:val="none"/>
        </w:rPr>
        <w:t xml:space="preserve"> 买受人须在成交当日（截止下午5时）到拍卖人处签署《拍卖成交确认书》等拍卖文件。上述文件不论买受人是否签署，其全部条款即对买受人产生约束力并生效。</w:t>
      </w:r>
    </w:p>
    <w:p w14:paraId="035CB216">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ascii="宋体" w:hAnsi="宋体"/>
          <w:b/>
          <w:color w:val="auto"/>
          <w:sz w:val="24"/>
          <w:u w:val="none"/>
        </w:rPr>
      </w:pPr>
      <w:r>
        <w:rPr>
          <w:rFonts w:hint="eastAsia" w:ascii="宋体" w:hAnsi="宋体"/>
          <w:b/>
          <w:color w:val="auto"/>
          <w:sz w:val="24"/>
          <w:u w:val="none"/>
        </w:rPr>
        <w:t>第十条  特别注意事项：用户的网站注册人名称必须与竞买保证金交纳人名称、买受人名称一致，否则造成的损失和后果由竞买人自行承担，与拍卖人、委托人无关。</w:t>
      </w:r>
    </w:p>
    <w:p w14:paraId="746471C1">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ascii="宋体" w:hAnsi="宋体"/>
          <w:b/>
          <w:color w:val="auto"/>
          <w:sz w:val="28"/>
          <w:szCs w:val="28"/>
          <w:u w:val="none"/>
        </w:rPr>
      </w:pPr>
      <w:r>
        <w:rPr>
          <w:rFonts w:hint="eastAsia" w:ascii="宋体" w:hAnsi="宋体"/>
          <w:b/>
          <w:color w:val="auto"/>
          <w:sz w:val="28"/>
          <w:szCs w:val="28"/>
          <w:u w:val="none"/>
        </w:rPr>
        <w:t>拍卖后期工作</w:t>
      </w:r>
    </w:p>
    <w:p w14:paraId="53235B32">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ascii="宋体" w:hAnsi="宋体"/>
          <w:color w:val="auto"/>
          <w:sz w:val="24"/>
          <w:u w:val="none"/>
        </w:rPr>
      </w:pPr>
      <w:r>
        <w:rPr>
          <w:rFonts w:hint="eastAsia" w:ascii="宋体" w:hAnsi="宋体"/>
          <w:b/>
          <w:bCs/>
          <w:color w:val="auto"/>
          <w:sz w:val="24"/>
          <w:u w:val="none"/>
        </w:rPr>
        <w:t>第十一条</w:t>
      </w:r>
      <w:r>
        <w:rPr>
          <w:rFonts w:hint="eastAsia" w:ascii="宋体" w:hAnsi="宋体"/>
          <w:b/>
          <w:bCs/>
          <w:color w:val="auto"/>
          <w:sz w:val="24"/>
          <w:u w:val="none"/>
          <w:lang w:val="en-US" w:eastAsia="zh-CN"/>
        </w:rPr>
        <w:t xml:space="preserve"> </w:t>
      </w:r>
      <w:r>
        <w:rPr>
          <w:rFonts w:hint="eastAsia" w:ascii="宋体" w:hAnsi="宋体"/>
          <w:b/>
          <w:bCs/>
          <w:color w:val="auto"/>
          <w:sz w:val="24"/>
          <w:u w:val="none"/>
        </w:rPr>
        <w:t xml:space="preserve"> </w:t>
      </w:r>
      <w:r>
        <w:rPr>
          <w:rFonts w:hint="eastAsia" w:ascii="宋体" w:hAnsi="宋体"/>
          <w:color w:val="auto"/>
          <w:sz w:val="24"/>
          <w:u w:val="none"/>
        </w:rPr>
        <w:t>未竞得拍卖标的的竞买人，在拍卖会结束后的3个工作日内，由拍卖人凭竞</w:t>
      </w:r>
    </w:p>
    <w:p w14:paraId="2951616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ascii="宋体" w:hAnsi="宋体"/>
          <w:color w:val="auto"/>
          <w:sz w:val="24"/>
          <w:u w:val="none"/>
        </w:rPr>
      </w:pPr>
      <w:r>
        <w:rPr>
          <w:rFonts w:hint="eastAsia" w:ascii="宋体" w:hAnsi="宋体"/>
          <w:color w:val="auto"/>
          <w:sz w:val="24"/>
          <w:u w:val="none"/>
        </w:rPr>
        <w:t>买人报名时登记的户名及账号退还竞买保证金</w:t>
      </w:r>
      <w:r>
        <w:rPr>
          <w:rFonts w:hint="eastAsia" w:ascii="宋体" w:hAnsi="宋体"/>
          <w:color w:val="auto"/>
          <w:sz w:val="24"/>
          <w:u w:val="none"/>
          <w:lang w:eastAsia="zh-CN"/>
        </w:rPr>
        <w:t>（</w:t>
      </w:r>
      <w:r>
        <w:rPr>
          <w:rFonts w:hint="eastAsia" w:ascii="宋体" w:hAnsi="宋体"/>
          <w:color w:val="auto"/>
          <w:sz w:val="24"/>
          <w:u w:val="none"/>
          <w:lang w:val="en-US" w:eastAsia="zh-CN"/>
        </w:rPr>
        <w:t>按银行同期活期存款利率计息</w:t>
      </w:r>
      <w:r>
        <w:rPr>
          <w:rFonts w:hint="eastAsia" w:ascii="宋体" w:hAnsi="宋体"/>
          <w:color w:val="auto"/>
          <w:sz w:val="24"/>
          <w:u w:val="none"/>
        </w:rPr>
        <w:t>）；买受人的竞买保证金（</w:t>
      </w:r>
      <w:r>
        <w:rPr>
          <w:rFonts w:hint="eastAsia" w:ascii="宋体" w:hAnsi="宋体"/>
          <w:color w:val="auto"/>
          <w:sz w:val="24"/>
          <w:u w:val="none"/>
          <w:lang w:val="en-US" w:eastAsia="zh-CN"/>
        </w:rPr>
        <w:t>按银行同期活期存款利率计息</w:t>
      </w:r>
      <w:r>
        <w:rPr>
          <w:rFonts w:hint="eastAsia" w:ascii="宋体" w:hAnsi="宋体"/>
          <w:color w:val="auto"/>
          <w:sz w:val="24"/>
          <w:u w:val="none"/>
        </w:rPr>
        <w:t>）凭《</w:t>
      </w:r>
      <w:r>
        <w:rPr>
          <w:rFonts w:hint="eastAsia" w:ascii="宋体" w:hAnsi="宋体" w:cs="宋体"/>
          <w:color w:val="auto"/>
          <w:kern w:val="0"/>
          <w:sz w:val="24"/>
          <w:u w:val="none"/>
        </w:rPr>
        <w:t>余姚市非住宅直管公房租赁合同</w:t>
      </w:r>
      <w:r>
        <w:rPr>
          <w:rFonts w:hint="eastAsia" w:ascii="宋体" w:hAnsi="宋体"/>
          <w:color w:val="auto"/>
          <w:sz w:val="24"/>
          <w:u w:val="none"/>
        </w:rPr>
        <w:t xml:space="preserve">》复印件到拍卖人处退还。  </w:t>
      </w:r>
    </w:p>
    <w:p w14:paraId="72319103">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ascii="宋体" w:hAnsi="宋体"/>
          <w:b/>
          <w:bCs/>
          <w:color w:val="auto"/>
          <w:sz w:val="24"/>
          <w:u w:val="none"/>
        </w:rPr>
      </w:pPr>
      <w:r>
        <w:rPr>
          <w:rFonts w:hint="eastAsia" w:ascii="宋体" w:hAnsi="宋体"/>
          <w:b/>
          <w:bCs/>
          <w:color w:val="auto"/>
          <w:sz w:val="24"/>
          <w:u w:val="none"/>
        </w:rPr>
        <w:t>如未收到竞买保证金的，请及时与拍卖人联系（0574-62727901）。</w:t>
      </w:r>
    </w:p>
    <w:p w14:paraId="427E74F8">
      <w:pPr>
        <w:keepNext w:val="0"/>
        <w:keepLines w:val="0"/>
        <w:pageBreakBefore w:val="0"/>
        <w:widowControl w:val="0"/>
        <w:numPr>
          <w:ilvl w:val="0"/>
          <w:numId w:val="0"/>
        </w:numPr>
        <w:kinsoku/>
        <w:wordWrap/>
        <w:overflowPunct/>
        <w:topLinePunct w:val="0"/>
        <w:autoSpaceDE/>
        <w:autoSpaceDN/>
        <w:bidi w:val="0"/>
        <w:adjustRightInd/>
        <w:spacing w:line="460" w:lineRule="exact"/>
        <w:ind w:firstLine="482" w:firstLineChars="200"/>
        <w:textAlignment w:val="auto"/>
        <w:rPr>
          <w:rFonts w:ascii="宋体" w:hAnsi="宋体" w:cs="宋体"/>
          <w:b/>
          <w:bCs/>
          <w:color w:val="auto"/>
          <w:kern w:val="0"/>
          <w:sz w:val="24"/>
          <w:u w:val="none"/>
        </w:rPr>
      </w:pPr>
      <w:r>
        <w:rPr>
          <w:rFonts w:hint="eastAsia" w:ascii="宋体" w:hAnsi="宋体" w:cs="宋体"/>
          <w:b/>
          <w:color w:val="auto"/>
          <w:kern w:val="0"/>
          <w:sz w:val="24"/>
          <w:u w:val="none"/>
          <w:lang w:eastAsia="zh-CN"/>
        </w:rPr>
        <w:t>第十二条</w:t>
      </w:r>
      <w:r>
        <w:rPr>
          <w:rFonts w:hint="eastAsia" w:ascii="宋体" w:hAnsi="宋体" w:cs="宋体"/>
          <w:b/>
          <w:color w:val="auto"/>
          <w:kern w:val="0"/>
          <w:sz w:val="24"/>
          <w:u w:val="none"/>
          <w:lang w:val="en-US" w:eastAsia="zh-CN"/>
        </w:rPr>
        <w:t xml:space="preserve">  </w:t>
      </w:r>
      <w:r>
        <w:rPr>
          <w:rFonts w:hint="eastAsia" w:ascii="宋体" w:hAnsi="宋体" w:cs="宋体"/>
          <w:b/>
          <w:color w:val="auto"/>
          <w:kern w:val="0"/>
          <w:sz w:val="24"/>
          <w:u w:val="none"/>
        </w:rPr>
        <w:t>付款办法及签约时间</w:t>
      </w:r>
      <w:bookmarkStart w:id="2" w:name="_Hlk122379280"/>
    </w:p>
    <w:p w14:paraId="17DBD584">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cs="宋体"/>
          <w:color w:val="auto"/>
          <w:kern w:val="0"/>
          <w:sz w:val="24"/>
          <w:highlight w:val="none"/>
        </w:rPr>
      </w:pPr>
      <w:r>
        <w:rPr>
          <w:rFonts w:hint="eastAsia" w:ascii="宋体" w:hAnsi="宋体" w:cs="宋体"/>
          <w:b/>
          <w:color w:val="auto"/>
          <w:kern w:val="0"/>
          <w:sz w:val="24"/>
          <w:highlight w:val="none"/>
          <w:lang w:eastAsia="zh-CN"/>
        </w:rPr>
        <w:t>（一）</w:t>
      </w:r>
      <w:r>
        <w:rPr>
          <w:rFonts w:hint="eastAsia" w:ascii="宋体" w:hAnsi="宋体" w:cs="宋体"/>
          <w:b/>
          <w:color w:val="auto"/>
          <w:kern w:val="0"/>
          <w:sz w:val="24"/>
          <w:highlight w:val="none"/>
        </w:rPr>
        <w:t>买受人为原承租人的，</w:t>
      </w:r>
      <w:r>
        <w:rPr>
          <w:rFonts w:hint="eastAsia" w:ascii="宋体" w:hAnsi="宋体" w:cs="宋体"/>
          <w:bCs/>
          <w:color w:val="auto"/>
          <w:kern w:val="0"/>
          <w:sz w:val="24"/>
        </w:rPr>
        <w:t>须在</w:t>
      </w:r>
      <w:r>
        <w:rPr>
          <w:rFonts w:hint="eastAsia" w:ascii="宋体" w:hAnsi="宋体" w:cs="宋体"/>
          <w:bCs/>
          <w:color w:val="auto"/>
          <w:kern w:val="0"/>
          <w:sz w:val="24"/>
          <w:lang w:val="en-US" w:eastAsia="zh-CN"/>
        </w:rPr>
        <w:t>2025</w:t>
      </w:r>
      <w:r>
        <w:rPr>
          <w:rFonts w:ascii="宋体" w:hAnsi="宋体" w:cs="宋体"/>
          <w:color w:val="auto"/>
          <w:kern w:val="0"/>
          <w:sz w:val="24"/>
        </w:rPr>
        <w:t>年</w:t>
      </w:r>
      <w:r>
        <w:rPr>
          <w:rFonts w:hint="eastAsia" w:ascii="宋体" w:hAnsi="宋体" w:cs="宋体"/>
          <w:color w:val="auto"/>
          <w:kern w:val="0"/>
          <w:sz w:val="24"/>
          <w:lang w:val="en-US" w:eastAsia="zh-CN"/>
        </w:rPr>
        <w:t>4</w:t>
      </w:r>
      <w:r>
        <w:rPr>
          <w:rFonts w:ascii="宋体" w:hAnsi="宋体" w:cs="宋体"/>
          <w:color w:val="auto"/>
          <w:kern w:val="0"/>
          <w:sz w:val="24"/>
          <w:u w:val="none"/>
        </w:rPr>
        <w:t>月</w:t>
      </w:r>
      <w:r>
        <w:rPr>
          <w:rFonts w:hint="eastAsia" w:ascii="宋体" w:hAnsi="宋体" w:cs="宋体"/>
          <w:color w:val="auto"/>
          <w:kern w:val="0"/>
          <w:sz w:val="24"/>
          <w:u w:val="none"/>
          <w:lang w:val="en-US" w:eastAsia="zh-CN"/>
        </w:rPr>
        <w:t>21</w:t>
      </w:r>
      <w:r>
        <w:rPr>
          <w:rFonts w:ascii="宋体" w:hAnsi="宋体" w:cs="宋体"/>
          <w:color w:val="auto"/>
          <w:kern w:val="0"/>
          <w:sz w:val="24"/>
        </w:rPr>
        <w:t>日</w:t>
      </w:r>
      <w:r>
        <w:rPr>
          <w:rFonts w:hint="eastAsia" w:ascii="宋体" w:hAnsi="宋体" w:cs="宋体"/>
          <w:color w:val="auto"/>
          <w:kern w:val="0"/>
          <w:sz w:val="24"/>
          <w:lang w:eastAsia="zh-CN"/>
        </w:rPr>
        <w:t>下午</w:t>
      </w:r>
      <w:r>
        <w:rPr>
          <w:rFonts w:hint="eastAsia" w:ascii="宋体" w:hAnsi="宋体" w:cs="宋体"/>
          <w:color w:val="auto"/>
          <w:kern w:val="0"/>
          <w:sz w:val="24"/>
          <w:lang w:val="en-US" w:eastAsia="zh-CN"/>
        </w:rPr>
        <w:t>4时</w:t>
      </w:r>
      <w:r>
        <w:rPr>
          <w:rFonts w:hint="eastAsia" w:ascii="宋体" w:hAnsi="宋体" w:cs="宋体"/>
          <w:color w:val="auto"/>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u w:val="none"/>
          <w:lang w:eastAsia="zh-CN"/>
        </w:rPr>
        <w:t>向委托人</w:t>
      </w:r>
      <w:r>
        <w:rPr>
          <w:rFonts w:ascii="宋体" w:hAnsi="宋体" w:cs="宋体"/>
          <w:color w:val="auto"/>
          <w:kern w:val="0"/>
          <w:sz w:val="24"/>
          <w:u w:val="none"/>
        </w:rPr>
        <w:t>一次性付清</w:t>
      </w:r>
      <w:r>
        <w:rPr>
          <w:rFonts w:hint="eastAsia" w:ascii="宋体" w:hAnsi="宋体" w:cs="宋体"/>
          <w:color w:val="auto"/>
          <w:kern w:val="0"/>
          <w:sz w:val="24"/>
          <w:u w:val="none"/>
        </w:rPr>
        <w:t>第1年</w:t>
      </w:r>
      <w:r>
        <w:rPr>
          <w:rFonts w:ascii="宋体" w:hAnsi="宋体" w:cs="宋体"/>
          <w:color w:val="auto"/>
          <w:kern w:val="0"/>
          <w:sz w:val="24"/>
          <w:u w:val="none"/>
        </w:rPr>
        <w:t>租金成交款</w:t>
      </w:r>
      <w:r>
        <w:rPr>
          <w:rFonts w:hint="eastAsia" w:ascii="宋体" w:hAnsi="宋体" w:cs="宋体"/>
          <w:color w:val="auto"/>
          <w:kern w:val="0"/>
          <w:sz w:val="24"/>
          <w:u w:val="none"/>
          <w:lang w:eastAsia="zh-CN"/>
        </w:rPr>
        <w:t>和履约保证金，同时</w:t>
      </w:r>
      <w:r>
        <w:rPr>
          <w:rFonts w:ascii="宋体" w:hAnsi="宋体" w:cs="宋体"/>
          <w:color w:val="auto"/>
          <w:kern w:val="0"/>
          <w:sz w:val="24"/>
          <w:u w:val="none"/>
        </w:rPr>
        <w:t>向</w:t>
      </w:r>
      <w:r>
        <w:rPr>
          <w:rFonts w:hint="eastAsia" w:ascii="宋体" w:hAnsi="宋体" w:cs="宋体"/>
          <w:color w:val="auto"/>
          <w:kern w:val="0"/>
          <w:sz w:val="24"/>
          <w:u w:val="none"/>
        </w:rPr>
        <w:t>拍卖人</w:t>
      </w:r>
      <w:r>
        <w:rPr>
          <w:rFonts w:hint="eastAsia" w:ascii="宋体" w:hAnsi="宋体" w:cs="宋体"/>
          <w:color w:val="auto"/>
          <w:kern w:val="0"/>
          <w:sz w:val="24"/>
          <w:u w:val="none"/>
          <w:lang w:eastAsia="zh-CN"/>
        </w:rPr>
        <w:t>支付</w:t>
      </w:r>
      <w:r>
        <w:rPr>
          <w:rFonts w:hint="eastAsia" w:ascii="宋体" w:hAnsi="宋体" w:cs="宋体"/>
          <w:color w:val="auto"/>
          <w:kern w:val="0"/>
          <w:sz w:val="24"/>
          <w:u w:val="none"/>
        </w:rPr>
        <w:t>第1年</w:t>
      </w:r>
      <w:r>
        <w:rPr>
          <w:rFonts w:ascii="宋体" w:hAnsi="宋体" w:cs="宋体"/>
          <w:color w:val="auto"/>
          <w:kern w:val="0"/>
          <w:sz w:val="24"/>
          <w:u w:val="none"/>
        </w:rPr>
        <w:t>租金成交</w:t>
      </w:r>
      <w:r>
        <w:rPr>
          <w:rFonts w:hint="eastAsia" w:ascii="宋体" w:hAnsi="宋体" w:cs="宋体"/>
          <w:color w:val="auto"/>
          <w:kern w:val="0"/>
          <w:sz w:val="24"/>
          <w:u w:val="none"/>
        </w:rPr>
        <w:t>价</w:t>
      </w:r>
      <w:r>
        <w:rPr>
          <w:rFonts w:hint="eastAsia" w:ascii="宋体" w:hAnsi="宋体" w:cs="宋体"/>
          <w:color w:val="auto"/>
          <w:kern w:val="0"/>
          <w:sz w:val="24"/>
          <w:u w:val="none"/>
          <w:lang w:val="en-US" w:eastAsia="zh-CN"/>
        </w:rPr>
        <w:t>4</w:t>
      </w:r>
      <w:r>
        <w:rPr>
          <w:rFonts w:hint="eastAsia" w:ascii="宋体" w:hAnsi="宋体" w:cs="宋体"/>
          <w:color w:val="auto"/>
          <w:kern w:val="0"/>
          <w:sz w:val="24"/>
          <w:u w:val="none"/>
        </w:rPr>
        <w:t>%的买受佣金，然后于</w:t>
      </w:r>
      <w:r>
        <w:rPr>
          <w:rFonts w:hint="eastAsia" w:ascii="宋体" w:hAnsi="宋体" w:cs="宋体"/>
          <w:color w:val="auto"/>
          <w:kern w:val="0"/>
          <w:sz w:val="24"/>
          <w:szCs w:val="24"/>
          <w:u w:val="none"/>
          <w:lang w:val="en-US" w:eastAsia="zh-CN"/>
        </w:rPr>
        <w:t>2025</w:t>
      </w:r>
      <w:r>
        <w:rPr>
          <w:rFonts w:hint="eastAsia" w:ascii="宋体" w:hAnsi="宋体" w:cs="宋体"/>
          <w:color w:val="auto"/>
          <w:kern w:val="0"/>
          <w:sz w:val="24"/>
          <w:szCs w:val="24"/>
          <w:u w:val="none"/>
        </w:rPr>
        <w:t>年</w:t>
      </w:r>
      <w:r>
        <w:rPr>
          <w:rFonts w:hint="eastAsia" w:ascii="宋体" w:hAnsi="宋体" w:cs="宋体"/>
          <w:color w:val="auto"/>
          <w:kern w:val="0"/>
          <w:sz w:val="24"/>
          <w:szCs w:val="24"/>
          <w:u w:val="none"/>
          <w:lang w:val="en-US" w:eastAsia="zh-CN"/>
        </w:rPr>
        <w:t>4</w:t>
      </w:r>
      <w:r>
        <w:rPr>
          <w:rFonts w:hint="eastAsia" w:ascii="宋体" w:hAnsi="宋体" w:cs="宋体"/>
          <w:color w:val="auto"/>
          <w:kern w:val="0"/>
          <w:sz w:val="24"/>
          <w:szCs w:val="24"/>
          <w:u w:val="none"/>
        </w:rPr>
        <w:t>月</w:t>
      </w:r>
      <w:r>
        <w:rPr>
          <w:rFonts w:hint="eastAsia" w:ascii="宋体" w:hAnsi="宋体" w:cs="宋体"/>
          <w:color w:val="auto"/>
          <w:kern w:val="0"/>
          <w:sz w:val="24"/>
          <w:szCs w:val="24"/>
          <w:u w:val="none"/>
          <w:lang w:val="en-US" w:eastAsia="zh-CN"/>
        </w:rPr>
        <w:t>22</w:t>
      </w:r>
      <w:r>
        <w:rPr>
          <w:rFonts w:hint="eastAsia" w:ascii="宋体" w:hAnsi="宋体" w:cs="宋体"/>
          <w:color w:val="auto"/>
          <w:kern w:val="0"/>
          <w:sz w:val="24"/>
          <w:u w:val="none"/>
          <w:lang w:val="en-US" w:eastAsia="zh-CN"/>
        </w:rPr>
        <w:t>日- 4</w:t>
      </w:r>
      <w:r>
        <w:rPr>
          <w:rFonts w:hint="eastAsia" w:ascii="宋体" w:hAnsi="宋体" w:cs="宋体"/>
          <w:color w:val="auto"/>
          <w:kern w:val="0"/>
          <w:sz w:val="24"/>
          <w:u w:val="none"/>
        </w:rPr>
        <w:t>月</w:t>
      </w:r>
      <w:r>
        <w:rPr>
          <w:rFonts w:hint="eastAsia" w:ascii="宋体" w:hAnsi="宋体" w:cs="宋体"/>
          <w:color w:val="auto"/>
          <w:kern w:val="0"/>
          <w:sz w:val="24"/>
          <w:u w:val="none"/>
          <w:lang w:val="en-US" w:eastAsia="zh-CN"/>
        </w:rPr>
        <w:t>23日</w:t>
      </w:r>
      <w:r>
        <w:rPr>
          <w:rFonts w:hint="eastAsia" w:ascii="宋体" w:hAnsi="宋体" w:cs="宋体"/>
          <w:color w:val="auto"/>
          <w:kern w:val="0"/>
          <w:sz w:val="24"/>
          <w:u w:val="none"/>
          <w:lang w:eastAsia="zh-CN"/>
        </w:rPr>
        <w:t>（上午</w:t>
      </w:r>
      <w:r>
        <w:rPr>
          <w:rFonts w:hint="eastAsia" w:ascii="宋体" w:hAnsi="宋体" w:cs="宋体"/>
          <w:color w:val="auto"/>
          <w:kern w:val="0"/>
          <w:sz w:val="24"/>
          <w:u w:val="none"/>
          <w:lang w:val="en-US" w:eastAsia="zh-CN"/>
        </w:rPr>
        <w:t>9:00-11:00，下午2:00-4:00，节假日除外</w:t>
      </w:r>
      <w:r>
        <w:rPr>
          <w:rFonts w:hint="eastAsia" w:ascii="宋体" w:hAnsi="宋体" w:cs="宋体"/>
          <w:color w:val="auto"/>
          <w:kern w:val="0"/>
          <w:sz w:val="24"/>
          <w:u w:val="none"/>
          <w:lang w:eastAsia="zh-CN"/>
        </w:rPr>
        <w:t>）</w:t>
      </w:r>
      <w:r>
        <w:rPr>
          <w:rFonts w:hint="eastAsia" w:ascii="宋体" w:hAnsi="宋体" w:cs="宋体"/>
          <w:color w:val="auto"/>
          <w:kern w:val="0"/>
          <w:sz w:val="24"/>
          <w:u w:val="none"/>
        </w:rPr>
        <w:t>与委托人签订《余姚市非住宅直管公房租赁合同》。</w:t>
      </w:r>
    </w:p>
    <w:p w14:paraId="090F481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宋体" w:hAnsi="宋体"/>
          <w:b/>
          <w:bCs/>
          <w:color w:val="auto"/>
          <w:sz w:val="24"/>
          <w:highlight w:val="none"/>
          <w:lang w:val="en-US" w:eastAsia="zh-CN"/>
        </w:rPr>
      </w:pPr>
      <w:r>
        <w:rPr>
          <w:rFonts w:hint="eastAsia" w:ascii="宋体" w:hAnsi="宋体" w:cs="宋体"/>
          <w:b/>
          <w:color w:val="auto"/>
          <w:kern w:val="0"/>
          <w:sz w:val="24"/>
          <w:highlight w:val="none"/>
        </w:rPr>
        <w:t>（二）买受人为新承租人的，</w:t>
      </w:r>
      <w:r>
        <w:rPr>
          <w:rFonts w:hint="eastAsia" w:ascii="宋体" w:hAnsi="宋体" w:cs="宋体"/>
          <w:color w:val="auto"/>
          <w:kern w:val="0"/>
          <w:sz w:val="24"/>
          <w:highlight w:val="none"/>
        </w:rPr>
        <w:t>则第1年租金成交款、履约保证金、买受佣金的支付及《</w:t>
      </w:r>
      <w:r>
        <w:rPr>
          <w:rFonts w:hint="eastAsia" w:ascii="宋体" w:hAnsi="宋体" w:cs="宋体"/>
          <w:color w:val="auto"/>
          <w:kern w:val="0"/>
          <w:sz w:val="24"/>
          <w:u w:val="none"/>
        </w:rPr>
        <w:t>余姚市非住宅直管公房租赁合同</w:t>
      </w:r>
      <w:r>
        <w:rPr>
          <w:rFonts w:hint="eastAsia" w:ascii="宋体" w:hAnsi="宋体" w:cs="宋体"/>
          <w:color w:val="auto"/>
          <w:kern w:val="0"/>
          <w:sz w:val="24"/>
          <w:highlight w:val="none"/>
        </w:rPr>
        <w:t>》的签订在接到委托人交付通知后5个工作日内同时办理。</w:t>
      </w:r>
    </w:p>
    <w:p w14:paraId="3DF359EE">
      <w:pPr>
        <w:keepNext w:val="0"/>
        <w:keepLines w:val="0"/>
        <w:pageBreakBefore w:val="0"/>
        <w:widowControl w:val="0"/>
        <w:kinsoku/>
        <w:wordWrap/>
        <w:overflowPunct/>
        <w:topLinePunct w:val="0"/>
        <w:autoSpaceDE/>
        <w:autoSpaceDN/>
        <w:bidi w:val="0"/>
        <w:adjustRightInd/>
        <w:snapToGrid/>
        <w:spacing w:line="460" w:lineRule="exact"/>
        <w:ind w:left="0" w:leftChars="0" w:firstLine="439" w:firstLineChars="182"/>
        <w:textAlignment w:val="auto"/>
        <w:rPr>
          <w:rFonts w:hint="eastAsia" w:ascii="宋体" w:hAnsi="宋体" w:eastAsia="宋体" w:cs="宋体"/>
          <w:color w:val="auto"/>
          <w:sz w:val="24"/>
        </w:rPr>
      </w:pPr>
      <w:r>
        <w:rPr>
          <w:rFonts w:hint="eastAsia" w:ascii="宋体" w:hAnsi="宋体" w:eastAsia="宋体" w:cs="宋体"/>
          <w:b/>
          <w:bCs/>
          <w:color w:val="auto"/>
          <w:sz w:val="24"/>
          <w:u w:val="none"/>
          <w:lang w:eastAsia="zh-CN"/>
        </w:rPr>
        <w:t>租金和履约保证金请汇入委托人账</w:t>
      </w:r>
      <w:r>
        <w:rPr>
          <w:rFonts w:hint="eastAsia" w:ascii="宋体" w:hAnsi="宋体" w:eastAsia="宋体" w:cs="宋体"/>
          <w:b/>
          <w:bCs/>
          <w:color w:val="auto"/>
          <w:sz w:val="24"/>
          <w:highlight w:val="none"/>
          <w:u w:val="none"/>
          <w:lang w:eastAsia="zh-CN"/>
        </w:rPr>
        <w:t>户</w:t>
      </w:r>
      <w:r>
        <w:rPr>
          <w:rFonts w:hint="eastAsia" w:ascii="宋体" w:hAnsi="宋体" w:eastAsia="宋体" w:cs="宋体"/>
          <w:color w:val="auto"/>
          <w:sz w:val="24"/>
          <w:highlight w:val="none"/>
        </w:rPr>
        <w:t>（</w:t>
      </w:r>
      <w:r>
        <w:rPr>
          <w:rFonts w:hint="eastAsia" w:ascii="宋体" w:hAnsi="宋体" w:eastAsia="宋体" w:cs="宋体"/>
          <w:color w:val="auto"/>
          <w:kern w:val="0"/>
          <w:sz w:val="24"/>
          <w:u w:val="none"/>
          <w:lang w:val="en-US" w:eastAsia="zh-CN"/>
        </w:rPr>
        <w:t>户名：余姚市住房保障中心；开户银行：招商银行宁波余姚支行；账号：574908641610711</w:t>
      </w:r>
      <w:r>
        <w:rPr>
          <w:rFonts w:hint="eastAsia" w:ascii="宋体" w:hAnsi="宋体" w:eastAsia="宋体" w:cs="宋体"/>
          <w:color w:val="auto"/>
          <w:sz w:val="24"/>
        </w:rPr>
        <w:t>）</w:t>
      </w:r>
      <w:r>
        <w:rPr>
          <w:rFonts w:hint="eastAsia" w:ascii="宋体" w:hAnsi="宋体" w:eastAsia="宋体" w:cs="宋体"/>
          <w:color w:val="auto"/>
          <w:kern w:val="0"/>
          <w:sz w:val="24"/>
          <w:lang w:eastAsia="zh-CN"/>
        </w:rPr>
        <w:t>。</w:t>
      </w:r>
    </w:p>
    <w:p w14:paraId="638C53B9">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kern w:val="0"/>
          <w:sz w:val="24"/>
        </w:rPr>
        <w:t>买受佣金</w:t>
      </w:r>
      <w:r>
        <w:rPr>
          <w:rFonts w:hint="eastAsia" w:ascii="宋体" w:hAnsi="宋体" w:eastAsia="宋体" w:cs="宋体"/>
          <w:b/>
          <w:bCs/>
          <w:color w:val="auto"/>
          <w:kern w:val="0"/>
          <w:sz w:val="24"/>
          <w:lang w:eastAsia="zh-CN"/>
        </w:rPr>
        <w:t>请汇入</w:t>
      </w:r>
      <w:r>
        <w:rPr>
          <w:rFonts w:hint="eastAsia" w:ascii="宋体" w:hAnsi="宋体" w:eastAsia="宋体" w:cs="宋体"/>
          <w:b/>
          <w:bCs/>
          <w:color w:val="auto"/>
          <w:sz w:val="24"/>
        </w:rPr>
        <w:t>拍</w:t>
      </w:r>
      <w:r>
        <w:rPr>
          <w:rFonts w:hint="eastAsia" w:ascii="宋体" w:hAnsi="宋体" w:eastAsia="宋体" w:cs="宋体"/>
          <w:b/>
          <w:color w:val="auto"/>
          <w:sz w:val="24"/>
        </w:rPr>
        <w:t>卖人账户</w:t>
      </w:r>
      <w:r>
        <w:rPr>
          <w:rFonts w:hint="eastAsia" w:ascii="宋体" w:hAnsi="宋体" w:eastAsia="宋体" w:cs="宋体"/>
          <w:color w:val="auto"/>
          <w:sz w:val="24"/>
        </w:rPr>
        <w:t>（户名：宁波阳明拍卖有限公司，开户行：中信银行余姚支行，账号：8114701084445008888）。</w:t>
      </w:r>
    </w:p>
    <w:p w14:paraId="7E5B2878">
      <w:pPr>
        <w:keepNext w:val="0"/>
        <w:keepLines w:val="0"/>
        <w:pageBreakBefore w:val="0"/>
        <w:widowControl w:val="0"/>
        <w:numPr>
          <w:ilvl w:val="0"/>
          <w:numId w:val="0"/>
        </w:numPr>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kern w:val="0"/>
          <w:sz w:val="24"/>
          <w:highlight w:val="none"/>
          <w:u w:val="none"/>
        </w:rPr>
      </w:pPr>
      <w:r>
        <w:rPr>
          <w:rFonts w:ascii="宋体" w:hAnsi="宋体" w:cs="宋体"/>
          <w:color w:val="auto"/>
          <w:kern w:val="0"/>
          <w:sz w:val="24"/>
          <w:highlight w:val="none"/>
          <w:u w:val="none"/>
        </w:rPr>
        <w:t>拍卖人出具买受佣金发票，</w:t>
      </w:r>
      <w:r>
        <w:rPr>
          <w:rFonts w:hint="eastAsia" w:ascii="宋体" w:hAnsi="宋体" w:cs="宋体"/>
          <w:color w:val="auto"/>
          <w:kern w:val="0"/>
          <w:sz w:val="24"/>
          <w:u w:val="none"/>
        </w:rPr>
        <w:t>由</w:t>
      </w:r>
      <w:r>
        <w:rPr>
          <w:rFonts w:ascii="宋体" w:hAnsi="宋体" w:cs="宋体"/>
          <w:color w:val="auto"/>
          <w:kern w:val="0"/>
          <w:sz w:val="24"/>
          <w:u w:val="none"/>
        </w:rPr>
        <w:t>委托人出具</w:t>
      </w:r>
      <w:r>
        <w:rPr>
          <w:rFonts w:hint="eastAsia" w:ascii="宋体" w:hAnsi="宋体" w:cs="宋体"/>
          <w:color w:val="auto"/>
          <w:kern w:val="0"/>
          <w:sz w:val="24"/>
          <w:u w:val="none"/>
          <w:lang w:eastAsia="zh-CN"/>
        </w:rPr>
        <w:t>租金</w:t>
      </w:r>
      <w:r>
        <w:rPr>
          <w:rFonts w:hint="eastAsia" w:cs="宋体"/>
          <w:color w:val="auto"/>
          <w:sz w:val="24"/>
          <w:u w:val="none"/>
          <w:lang w:eastAsia="zh-CN"/>
        </w:rPr>
        <w:t>发票</w:t>
      </w:r>
      <w:r>
        <w:rPr>
          <w:rFonts w:hint="eastAsia" w:ascii="宋体" w:hAnsi="宋体" w:cs="宋体"/>
          <w:color w:val="auto"/>
          <w:kern w:val="0"/>
          <w:sz w:val="24"/>
          <w:highlight w:val="none"/>
          <w:u w:val="none"/>
        </w:rPr>
        <w:t>。</w:t>
      </w:r>
    </w:p>
    <w:bookmarkEnd w:id="2"/>
    <w:p w14:paraId="527919E6">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ascii="宋体" w:hAnsi="宋体"/>
          <w:b/>
          <w:color w:val="auto"/>
          <w:sz w:val="24"/>
          <w:u w:val="none"/>
        </w:rPr>
      </w:pPr>
      <w:r>
        <w:rPr>
          <w:rFonts w:hint="eastAsia" w:ascii="宋体" w:hAnsi="宋体"/>
          <w:b/>
          <w:color w:val="auto"/>
          <w:sz w:val="24"/>
          <w:highlight w:val="none"/>
          <w:u w:val="none"/>
          <w:lang w:eastAsia="zh-CN"/>
        </w:rPr>
        <w:t>第十三条</w:t>
      </w:r>
      <w:r>
        <w:rPr>
          <w:rFonts w:hint="eastAsia" w:ascii="宋体" w:hAnsi="宋体"/>
          <w:b/>
          <w:color w:val="auto"/>
          <w:sz w:val="24"/>
          <w:highlight w:val="none"/>
          <w:u w:val="none"/>
          <w:lang w:val="en-US" w:eastAsia="zh-CN"/>
        </w:rPr>
        <w:t xml:space="preserve">  违约责任：</w:t>
      </w:r>
      <w:r>
        <w:rPr>
          <w:rFonts w:hint="eastAsia" w:ascii="宋体" w:hAnsi="宋体"/>
          <w:b/>
          <w:color w:val="auto"/>
          <w:sz w:val="24"/>
          <w:highlight w:val="none"/>
          <w:u w:val="none"/>
        </w:rPr>
        <w:t>因买受人存在未按约定签订《拍卖成交确认</w:t>
      </w:r>
      <w:r>
        <w:rPr>
          <w:rFonts w:hint="eastAsia" w:ascii="宋体" w:hAnsi="宋体"/>
          <w:b/>
          <w:color w:val="auto"/>
          <w:sz w:val="24"/>
          <w:u w:val="none"/>
        </w:rPr>
        <w:t>书》等拍卖文件或《余姚市非住宅直管公房租赁合同》</w:t>
      </w:r>
      <w:r>
        <w:rPr>
          <w:rFonts w:hint="eastAsia" w:ascii="宋体" w:hAnsi="宋体"/>
          <w:b/>
          <w:color w:val="auto"/>
          <w:sz w:val="24"/>
          <w:u w:val="none"/>
          <w:lang w:eastAsia="zh-CN"/>
        </w:rPr>
        <w:t>或</w:t>
      </w:r>
      <w:r>
        <w:rPr>
          <w:rFonts w:hint="eastAsia" w:ascii="宋体" w:hAnsi="宋体"/>
          <w:b/>
          <w:color w:val="auto"/>
          <w:sz w:val="24"/>
          <w:u w:val="none"/>
        </w:rPr>
        <w:t>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102B3A60">
      <w:pPr>
        <w:keepNext w:val="0"/>
        <w:keepLines w:val="0"/>
        <w:pageBreakBefore w:val="0"/>
        <w:widowControl w:val="0"/>
        <w:kinsoku/>
        <w:wordWrap/>
        <w:overflowPunct/>
        <w:topLinePunct w:val="0"/>
        <w:autoSpaceDE/>
        <w:autoSpaceDN/>
        <w:bidi w:val="0"/>
        <w:adjustRightInd/>
        <w:spacing w:line="460" w:lineRule="exact"/>
        <w:ind w:firstLine="472" w:firstLineChars="197"/>
        <w:textAlignment w:val="auto"/>
        <w:rPr>
          <w:rFonts w:ascii="宋体" w:hAnsi="宋体"/>
          <w:bCs/>
          <w:color w:val="auto"/>
          <w:sz w:val="24"/>
          <w:u w:val="none"/>
        </w:rPr>
      </w:pPr>
      <w:r>
        <w:rPr>
          <w:rFonts w:hint="eastAsia" w:ascii="宋体" w:hAnsi="宋体"/>
          <w:bCs/>
          <w:color w:val="auto"/>
          <w:sz w:val="24"/>
          <w:u w:val="none"/>
        </w:rPr>
        <w:t>《拍卖法》第三十九条：买受人应当按照约定支付拍卖标的的价款，未按照约定支付价款的，应当承担违约责任，或者由拍卖人征得委托人的同意，将拍卖标的再行拍卖。</w:t>
      </w:r>
    </w:p>
    <w:p w14:paraId="7C54B1A3">
      <w:pPr>
        <w:keepNext w:val="0"/>
        <w:keepLines w:val="0"/>
        <w:pageBreakBefore w:val="0"/>
        <w:widowControl w:val="0"/>
        <w:kinsoku/>
        <w:wordWrap/>
        <w:overflowPunct/>
        <w:topLinePunct w:val="0"/>
        <w:autoSpaceDE/>
        <w:autoSpaceDN/>
        <w:bidi w:val="0"/>
        <w:adjustRightInd/>
        <w:spacing w:line="460" w:lineRule="exact"/>
        <w:ind w:firstLine="472" w:firstLineChars="197"/>
        <w:textAlignment w:val="auto"/>
        <w:rPr>
          <w:rFonts w:ascii="宋体" w:hAnsi="宋体"/>
          <w:bCs/>
          <w:color w:val="auto"/>
          <w:sz w:val="24"/>
          <w:u w:val="none"/>
        </w:rPr>
      </w:pPr>
      <w:r>
        <w:rPr>
          <w:rFonts w:hint="eastAsia" w:ascii="宋体" w:hAnsi="宋体"/>
          <w:bCs/>
          <w:color w:val="auto"/>
          <w:sz w:val="24"/>
          <w:u w:val="none"/>
        </w:rPr>
        <w:t>拍卖标的再行拍卖的，原买受人应当支付第一次拍卖中本人及委托人应当支付的佣金。再行拍卖的价款低于原拍卖价款的，原买受人应当补足差额。</w:t>
      </w:r>
    </w:p>
    <w:p w14:paraId="4870AFCE">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ascii="宋体" w:hAnsi="宋体"/>
          <w:bCs/>
          <w:color w:val="auto"/>
          <w:sz w:val="24"/>
          <w:u w:val="none"/>
        </w:rPr>
      </w:pPr>
      <w:r>
        <w:rPr>
          <w:rFonts w:hint="eastAsia" w:ascii="宋体" w:hAnsi="宋体"/>
          <w:b/>
          <w:color w:val="auto"/>
          <w:sz w:val="24"/>
          <w:u w:val="none"/>
        </w:rPr>
        <w:t>第十</w:t>
      </w:r>
      <w:r>
        <w:rPr>
          <w:rFonts w:hint="eastAsia" w:ascii="宋体" w:hAnsi="宋体"/>
          <w:b/>
          <w:color w:val="auto"/>
          <w:sz w:val="24"/>
          <w:u w:val="none"/>
          <w:lang w:eastAsia="zh-CN"/>
        </w:rPr>
        <w:t>四</w:t>
      </w:r>
      <w:r>
        <w:rPr>
          <w:rFonts w:hint="eastAsia" w:ascii="宋体" w:hAnsi="宋体"/>
          <w:b/>
          <w:color w:val="auto"/>
          <w:sz w:val="24"/>
          <w:u w:val="none"/>
        </w:rPr>
        <w:t>条  标的物交付：</w:t>
      </w:r>
      <w:r>
        <w:rPr>
          <w:rFonts w:hint="eastAsia" w:ascii="宋体" w:hAnsi="宋体"/>
          <w:color w:val="auto"/>
          <w:sz w:val="24"/>
          <w:u w:val="none"/>
        </w:rPr>
        <w:t>签订《</w:t>
      </w:r>
      <w:r>
        <w:rPr>
          <w:rFonts w:hint="eastAsia" w:ascii="宋体" w:hAnsi="宋体" w:cs="宋体"/>
          <w:color w:val="auto"/>
          <w:kern w:val="0"/>
          <w:sz w:val="24"/>
          <w:u w:val="none"/>
        </w:rPr>
        <w:t>余姚市非住宅直管公房租赁合同</w:t>
      </w:r>
      <w:r>
        <w:rPr>
          <w:rFonts w:hint="eastAsia" w:ascii="宋体" w:hAnsi="宋体"/>
          <w:color w:val="auto"/>
          <w:sz w:val="24"/>
          <w:u w:val="none"/>
        </w:rPr>
        <w:t>》后由委托人交付标的物给买受人</w:t>
      </w:r>
      <w:r>
        <w:rPr>
          <w:rFonts w:hint="eastAsia" w:ascii="宋体" w:hAnsi="宋体"/>
          <w:bCs/>
          <w:color w:val="auto"/>
          <w:sz w:val="24"/>
          <w:u w:val="none"/>
        </w:rPr>
        <w:t>。</w:t>
      </w:r>
    </w:p>
    <w:p w14:paraId="5007FFBF">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ascii="宋体" w:hAnsi="宋体" w:cs="宋体"/>
          <w:color w:val="auto"/>
          <w:kern w:val="0"/>
          <w:sz w:val="24"/>
        </w:rPr>
      </w:pPr>
      <w:r>
        <w:rPr>
          <w:rFonts w:hint="eastAsia" w:ascii="宋体" w:hAnsi="宋体"/>
          <w:b/>
          <w:color w:val="auto"/>
          <w:sz w:val="24"/>
          <w:u w:val="none"/>
        </w:rPr>
        <w:t>第十</w:t>
      </w:r>
      <w:r>
        <w:rPr>
          <w:rFonts w:hint="eastAsia" w:ascii="宋体" w:hAnsi="宋体"/>
          <w:b/>
          <w:color w:val="auto"/>
          <w:sz w:val="24"/>
          <w:u w:val="none"/>
          <w:lang w:eastAsia="zh-CN"/>
        </w:rPr>
        <w:t>五</w:t>
      </w:r>
      <w:r>
        <w:rPr>
          <w:rFonts w:hint="eastAsia" w:ascii="宋体" w:hAnsi="宋体"/>
          <w:b/>
          <w:color w:val="auto"/>
          <w:sz w:val="24"/>
          <w:u w:val="none"/>
        </w:rPr>
        <w:t>条  拍卖</w:t>
      </w:r>
      <w:r>
        <w:rPr>
          <w:rFonts w:hint="eastAsia" w:ascii="宋体" w:hAnsi="宋体" w:cs="宋体"/>
          <w:b/>
          <w:bCs/>
          <w:color w:val="auto"/>
          <w:kern w:val="0"/>
          <w:sz w:val="24"/>
          <w:u w:val="none"/>
        </w:rPr>
        <w:t>结果公告：</w:t>
      </w:r>
      <w:r>
        <w:rPr>
          <w:rFonts w:hint="eastAsia" w:ascii="宋体" w:hAnsi="宋体"/>
          <w:color w:val="auto"/>
          <w:sz w:val="24"/>
          <w:u w:val="none"/>
        </w:rPr>
        <w:t>《</w:t>
      </w:r>
      <w:r>
        <w:rPr>
          <w:rFonts w:hint="eastAsia" w:ascii="宋体" w:hAnsi="宋体" w:cs="宋体"/>
          <w:color w:val="auto"/>
          <w:kern w:val="0"/>
          <w:sz w:val="24"/>
          <w:u w:val="none"/>
        </w:rPr>
        <w:t>余姚市非住宅直管公房租赁合同</w:t>
      </w:r>
      <w:r>
        <w:rPr>
          <w:rFonts w:hint="eastAsia" w:ascii="宋体" w:hAnsi="宋体"/>
          <w:color w:val="auto"/>
          <w:sz w:val="24"/>
          <w:u w:val="none"/>
        </w:rPr>
        <w:t>》</w:t>
      </w:r>
      <w:r>
        <w:rPr>
          <w:rFonts w:hint="eastAsia" w:ascii="宋体" w:hAnsi="宋体" w:cs="宋体"/>
          <w:color w:val="auto"/>
          <w:kern w:val="0"/>
          <w:sz w:val="24"/>
          <w:u w:val="none"/>
        </w:rPr>
        <w:t>生效后的2个工作日内，</w:t>
      </w:r>
      <w:r>
        <w:rPr>
          <w:rFonts w:hint="eastAsia" w:ascii="宋体" w:hAnsi="宋体" w:cs="宋体"/>
          <w:color w:val="auto"/>
          <w:kern w:val="0"/>
          <w:sz w:val="24"/>
        </w:rPr>
        <w:t>由拍卖人将交易结果在宁波市公共资源交易电子服务系统</w:t>
      </w:r>
      <w:r>
        <w:rPr>
          <w:rFonts w:hint="eastAsia" w:ascii="宋体" w:hAnsi="宋体" w:cs="宋体"/>
          <w:color w:val="auto"/>
          <w:kern w:val="0"/>
          <w:sz w:val="24"/>
          <w:lang w:eastAsia="zh-CN"/>
        </w:rPr>
        <w:t>（甬易阳光）</w:t>
      </w:r>
      <w:r>
        <w:rPr>
          <w:rFonts w:hint="eastAsia" w:ascii="宋体" w:hAnsi="宋体" w:cs="宋体"/>
          <w:color w:val="auto"/>
          <w:kern w:val="0"/>
          <w:sz w:val="24"/>
        </w:rPr>
        <w:t>公告5个工作日。</w:t>
      </w:r>
    </w:p>
    <w:p w14:paraId="29BB6678">
      <w:pPr>
        <w:keepNext w:val="0"/>
        <w:keepLines w:val="0"/>
        <w:pageBreakBefore w:val="0"/>
        <w:widowControl w:val="0"/>
        <w:kinsoku/>
        <w:wordWrap/>
        <w:overflowPunct/>
        <w:topLinePunct w:val="0"/>
        <w:autoSpaceDE/>
        <w:autoSpaceDN/>
        <w:bidi w:val="0"/>
        <w:adjustRightInd/>
        <w:spacing w:line="460" w:lineRule="exact"/>
        <w:ind w:firstLine="475" w:firstLineChars="197"/>
        <w:textAlignment w:val="auto"/>
        <w:rPr>
          <w:rFonts w:ascii="宋体" w:hAnsi="宋体" w:cs="宋体"/>
          <w:color w:val="auto"/>
          <w:kern w:val="0"/>
          <w:sz w:val="24"/>
          <w:u w:val="none"/>
        </w:rPr>
      </w:pPr>
      <w:r>
        <w:rPr>
          <w:rFonts w:ascii="宋体" w:hAnsi="宋体" w:cs="宋体"/>
          <w:b/>
          <w:bCs/>
          <w:color w:val="auto"/>
          <w:kern w:val="0"/>
          <w:sz w:val="24"/>
          <w:u w:val="none"/>
        </w:rPr>
        <w:t>第十</w:t>
      </w:r>
      <w:r>
        <w:rPr>
          <w:rFonts w:hint="eastAsia" w:ascii="宋体" w:hAnsi="宋体" w:cs="宋体"/>
          <w:b/>
          <w:bCs/>
          <w:color w:val="auto"/>
          <w:kern w:val="0"/>
          <w:sz w:val="24"/>
          <w:u w:val="none"/>
          <w:lang w:eastAsia="zh-CN"/>
        </w:rPr>
        <w:t>六</w:t>
      </w:r>
      <w:r>
        <w:rPr>
          <w:rFonts w:ascii="宋体" w:hAnsi="宋体" w:cs="宋体"/>
          <w:b/>
          <w:bCs/>
          <w:color w:val="auto"/>
          <w:kern w:val="0"/>
          <w:sz w:val="24"/>
          <w:u w:val="none"/>
        </w:rPr>
        <w:t>条</w:t>
      </w:r>
      <w:r>
        <w:rPr>
          <w:rFonts w:hint="eastAsia" w:ascii="宋体" w:hAnsi="宋体" w:cs="宋体"/>
          <w:b/>
          <w:bCs/>
          <w:color w:val="auto"/>
          <w:kern w:val="0"/>
          <w:sz w:val="24"/>
          <w:u w:val="none"/>
        </w:rPr>
        <w:t xml:space="preserve">  </w:t>
      </w:r>
      <w:r>
        <w:rPr>
          <w:rFonts w:hint="eastAsia" w:ascii="宋体" w:hAnsi="宋体" w:cs="宋体"/>
          <w:color w:val="auto"/>
          <w:kern w:val="0"/>
          <w:sz w:val="24"/>
          <w:u w:val="none"/>
        </w:rPr>
        <w:t>买受人存在提供虚假文件、隐瞒事实、恶意串通等违反拍卖原则行为的，委托人和拍卖人有权取消其买受人资格，撤销《拍卖成交确认书》，解除《余姚市非住宅直管公房租赁合同》，造成的损失由买受人赔偿。</w:t>
      </w:r>
    </w:p>
    <w:p w14:paraId="57CA4167">
      <w:pPr>
        <w:keepNext w:val="0"/>
        <w:keepLines w:val="0"/>
        <w:pageBreakBefore w:val="0"/>
        <w:widowControl w:val="0"/>
        <w:kinsoku/>
        <w:wordWrap/>
        <w:overflowPunct/>
        <w:topLinePunct w:val="0"/>
        <w:autoSpaceDE/>
        <w:autoSpaceDN/>
        <w:bidi w:val="0"/>
        <w:adjustRightInd/>
        <w:spacing w:before="156" w:beforeLines="50" w:after="156" w:afterLines="50" w:line="460" w:lineRule="exact"/>
        <w:jc w:val="center"/>
        <w:textAlignment w:val="auto"/>
        <w:rPr>
          <w:rFonts w:ascii="宋体" w:hAnsi="宋体"/>
          <w:b/>
          <w:color w:val="auto"/>
          <w:sz w:val="28"/>
          <w:szCs w:val="28"/>
          <w:u w:val="none"/>
        </w:rPr>
      </w:pPr>
      <w:r>
        <w:rPr>
          <w:rFonts w:hint="eastAsia" w:ascii="宋体" w:hAnsi="宋体"/>
          <w:b/>
          <w:color w:val="auto"/>
          <w:sz w:val="28"/>
          <w:szCs w:val="28"/>
          <w:u w:val="none"/>
        </w:rPr>
        <w:t>附 则</w:t>
      </w:r>
    </w:p>
    <w:p w14:paraId="66ECC96C">
      <w:pPr>
        <w:keepNext w:val="0"/>
        <w:keepLines w:val="0"/>
        <w:pageBreakBefore w:val="0"/>
        <w:widowControl w:val="0"/>
        <w:kinsoku/>
        <w:wordWrap/>
        <w:overflowPunct/>
        <w:topLinePunct w:val="0"/>
        <w:autoSpaceDE/>
        <w:autoSpaceDN/>
        <w:bidi w:val="0"/>
        <w:adjustRightInd/>
        <w:spacing w:line="460" w:lineRule="exact"/>
        <w:ind w:firstLine="470" w:firstLineChars="195"/>
        <w:textAlignment w:val="auto"/>
        <w:rPr>
          <w:rFonts w:ascii="宋体" w:hAnsi="宋体" w:cs="宋体"/>
          <w:color w:val="auto"/>
          <w:kern w:val="0"/>
          <w:sz w:val="24"/>
          <w:u w:val="none"/>
        </w:rPr>
      </w:pPr>
      <w:r>
        <w:rPr>
          <w:rFonts w:ascii="宋体" w:hAnsi="宋体" w:cs="宋体"/>
          <w:b/>
          <w:bCs/>
          <w:color w:val="auto"/>
          <w:kern w:val="0"/>
          <w:sz w:val="24"/>
          <w:u w:val="none"/>
        </w:rPr>
        <w:t>第十</w:t>
      </w:r>
      <w:r>
        <w:rPr>
          <w:rFonts w:hint="eastAsia" w:ascii="宋体" w:hAnsi="宋体" w:cs="宋体"/>
          <w:b/>
          <w:bCs/>
          <w:color w:val="auto"/>
          <w:kern w:val="0"/>
          <w:sz w:val="24"/>
          <w:u w:val="none"/>
          <w:lang w:eastAsia="zh-CN"/>
        </w:rPr>
        <w:t>七</w:t>
      </w:r>
      <w:r>
        <w:rPr>
          <w:rFonts w:ascii="宋体" w:hAnsi="宋体" w:cs="宋体"/>
          <w:b/>
          <w:bCs/>
          <w:color w:val="auto"/>
          <w:kern w:val="0"/>
          <w:sz w:val="24"/>
          <w:u w:val="none"/>
        </w:rPr>
        <w:t>条</w:t>
      </w:r>
      <w:r>
        <w:rPr>
          <w:rFonts w:ascii="宋体" w:hAnsi="宋体" w:cs="宋体"/>
          <w:color w:val="auto"/>
          <w:kern w:val="0"/>
          <w:sz w:val="24"/>
          <w:u w:val="none"/>
        </w:rPr>
        <w:t xml:space="preserve"> </w:t>
      </w:r>
      <w:r>
        <w:rPr>
          <w:rFonts w:hint="eastAsia" w:ascii="宋体" w:hAnsi="宋体" w:cs="宋体"/>
          <w:color w:val="auto"/>
          <w:kern w:val="0"/>
          <w:sz w:val="24"/>
          <w:u w:val="none"/>
          <w:lang w:val="en-US" w:eastAsia="zh-CN"/>
        </w:rPr>
        <w:t xml:space="preserve"> </w:t>
      </w:r>
      <w:r>
        <w:rPr>
          <w:rFonts w:ascii="宋体" w:hAnsi="宋体" w:cs="宋体"/>
          <w:color w:val="auto"/>
          <w:kern w:val="0"/>
          <w:sz w:val="24"/>
          <w:u w:val="none"/>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u w:val="none"/>
        </w:rPr>
        <w:t>委托人</w:t>
      </w:r>
      <w:r>
        <w:rPr>
          <w:rFonts w:ascii="宋体" w:hAnsi="宋体" w:cs="宋体"/>
          <w:color w:val="auto"/>
          <w:kern w:val="0"/>
          <w:sz w:val="24"/>
          <w:u w:val="none"/>
        </w:rPr>
        <w:t>、拍卖人无涉。</w:t>
      </w:r>
    </w:p>
    <w:p w14:paraId="585F67CC">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宋体" w:hAnsi="宋体" w:cs="宋体"/>
          <w:color w:val="auto"/>
          <w:kern w:val="0"/>
          <w:sz w:val="24"/>
          <w:u w:val="none"/>
        </w:rPr>
      </w:pPr>
      <w:r>
        <w:rPr>
          <w:rFonts w:ascii="宋体" w:hAnsi="宋体" w:cs="宋体"/>
          <w:b/>
          <w:bCs/>
          <w:color w:val="auto"/>
          <w:kern w:val="0"/>
          <w:sz w:val="24"/>
          <w:u w:val="none"/>
        </w:rPr>
        <w:t>第十</w:t>
      </w:r>
      <w:r>
        <w:rPr>
          <w:rFonts w:hint="eastAsia" w:ascii="宋体" w:hAnsi="宋体" w:cs="宋体"/>
          <w:b/>
          <w:bCs/>
          <w:color w:val="auto"/>
          <w:kern w:val="0"/>
          <w:sz w:val="24"/>
          <w:u w:val="none"/>
          <w:lang w:eastAsia="zh-CN"/>
        </w:rPr>
        <w:t>八</w:t>
      </w:r>
      <w:r>
        <w:rPr>
          <w:rFonts w:ascii="宋体" w:hAnsi="宋体" w:cs="宋体"/>
          <w:b/>
          <w:bCs/>
          <w:color w:val="auto"/>
          <w:kern w:val="0"/>
          <w:sz w:val="24"/>
          <w:u w:val="none"/>
        </w:rPr>
        <w:t>条</w:t>
      </w:r>
      <w:r>
        <w:rPr>
          <w:rFonts w:ascii="宋体" w:hAnsi="宋体" w:cs="宋体"/>
          <w:color w:val="auto"/>
          <w:kern w:val="0"/>
          <w:sz w:val="24"/>
          <w:u w:val="none"/>
        </w:rPr>
        <w:t xml:space="preserve"> </w:t>
      </w:r>
      <w:r>
        <w:rPr>
          <w:rFonts w:hint="eastAsia" w:ascii="宋体" w:hAnsi="宋体" w:cs="宋体"/>
          <w:color w:val="auto"/>
          <w:kern w:val="0"/>
          <w:sz w:val="24"/>
          <w:u w:val="none"/>
          <w:lang w:val="en-US" w:eastAsia="zh-CN"/>
        </w:rPr>
        <w:t xml:space="preserve"> </w:t>
      </w:r>
      <w:r>
        <w:rPr>
          <w:rFonts w:hint="eastAsia" w:ascii="宋体" w:hAnsi="宋体" w:cs="宋体"/>
          <w:color w:val="auto"/>
          <w:kern w:val="0"/>
          <w:sz w:val="24"/>
          <w:u w:val="none"/>
        </w:rPr>
        <w:t>本须知解释权归本次拍卖活动的委托人、拍卖人所有</w:t>
      </w:r>
      <w:r>
        <w:rPr>
          <w:rFonts w:ascii="宋体" w:hAnsi="宋体" w:cs="宋体"/>
          <w:color w:val="auto"/>
          <w:kern w:val="0"/>
          <w:sz w:val="24"/>
          <w:u w:val="none"/>
        </w:rPr>
        <w:t>。</w:t>
      </w:r>
      <w:r>
        <w:rPr>
          <w:rFonts w:hint="eastAsia" w:ascii="宋体" w:hAnsi="宋体" w:cs="宋体"/>
          <w:color w:val="auto"/>
          <w:kern w:val="0"/>
          <w:sz w:val="24"/>
          <w:u w:val="none"/>
        </w:rPr>
        <w:t xml:space="preserve"> </w:t>
      </w:r>
    </w:p>
    <w:p w14:paraId="5837C8E9">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ascii="宋体" w:hAnsi="宋体" w:cs="宋体"/>
          <w:color w:val="auto"/>
          <w:kern w:val="0"/>
          <w:sz w:val="24"/>
          <w:u w:val="none"/>
        </w:rPr>
      </w:pPr>
    </w:p>
    <w:p w14:paraId="379FBA25">
      <w:pPr>
        <w:keepNext w:val="0"/>
        <w:keepLines w:val="0"/>
        <w:pageBreakBefore w:val="0"/>
        <w:widowControl w:val="0"/>
        <w:kinsoku/>
        <w:wordWrap/>
        <w:overflowPunct/>
        <w:topLinePunct w:val="0"/>
        <w:autoSpaceDE/>
        <w:autoSpaceDN/>
        <w:bidi w:val="0"/>
        <w:adjustRightInd/>
        <w:spacing w:line="460" w:lineRule="exact"/>
        <w:ind w:firstLine="468" w:firstLineChars="195"/>
        <w:jc w:val="right"/>
        <w:textAlignment w:val="auto"/>
        <w:rPr>
          <w:rFonts w:ascii="宋体" w:hAnsi="宋体" w:cs="宋体"/>
          <w:color w:val="auto"/>
          <w:kern w:val="0"/>
          <w:sz w:val="24"/>
          <w:u w:val="none"/>
        </w:rPr>
      </w:pPr>
      <w:r>
        <w:rPr>
          <w:rFonts w:hint="eastAsia" w:ascii="宋体" w:hAnsi="宋体" w:cs="宋体"/>
          <w:color w:val="auto"/>
          <w:kern w:val="0"/>
          <w:sz w:val="24"/>
          <w:u w:val="none"/>
        </w:rPr>
        <w:t>宁波阳明拍卖有限公司</w:t>
      </w:r>
    </w:p>
    <w:p w14:paraId="50B4B85B">
      <w:pPr>
        <w:keepNext w:val="0"/>
        <w:keepLines w:val="0"/>
        <w:pageBreakBefore w:val="0"/>
        <w:widowControl w:val="0"/>
        <w:kinsoku/>
        <w:wordWrap/>
        <w:overflowPunct/>
        <w:topLinePunct w:val="0"/>
        <w:autoSpaceDE/>
        <w:autoSpaceDN/>
        <w:bidi w:val="0"/>
        <w:adjustRightInd/>
        <w:spacing w:line="460" w:lineRule="exact"/>
        <w:ind w:firstLine="468" w:firstLineChars="195"/>
        <w:jc w:val="right"/>
        <w:textAlignment w:val="auto"/>
        <w:rPr>
          <w:rFonts w:ascii="宋体" w:hAnsi="宋体" w:cs="宋体"/>
          <w:color w:val="auto"/>
          <w:kern w:val="0"/>
          <w:sz w:val="24"/>
          <w:u w:val="none"/>
        </w:rPr>
      </w:pPr>
      <w:r>
        <w:rPr>
          <w:rFonts w:hint="eastAsia" w:ascii="宋体" w:hAnsi="宋体" w:cs="宋体"/>
          <w:color w:val="auto"/>
          <w:kern w:val="0"/>
          <w:sz w:val="24"/>
          <w:u w:val="none"/>
          <w:lang w:val="en-US" w:eastAsia="zh-CN"/>
        </w:rPr>
        <w:t>2025</w:t>
      </w:r>
      <w:r>
        <w:rPr>
          <w:rFonts w:hint="eastAsia" w:ascii="宋体" w:hAnsi="宋体" w:cs="宋体"/>
          <w:color w:val="auto"/>
          <w:kern w:val="0"/>
          <w:sz w:val="24"/>
          <w:u w:val="none"/>
        </w:rPr>
        <w:t>年</w:t>
      </w:r>
      <w:r>
        <w:rPr>
          <w:rFonts w:hint="eastAsia" w:ascii="宋体" w:hAnsi="宋体" w:cs="宋体"/>
          <w:color w:val="auto"/>
          <w:kern w:val="0"/>
          <w:sz w:val="24"/>
          <w:u w:val="none"/>
          <w:lang w:val="en-US" w:eastAsia="zh-CN"/>
        </w:rPr>
        <w:t>4</w:t>
      </w:r>
      <w:r>
        <w:rPr>
          <w:rFonts w:hint="eastAsia" w:ascii="宋体" w:hAnsi="宋体" w:cs="宋体"/>
          <w:color w:val="auto"/>
          <w:kern w:val="0"/>
          <w:sz w:val="24"/>
          <w:u w:val="none"/>
        </w:rPr>
        <w:t>月</w:t>
      </w:r>
      <w:r>
        <w:rPr>
          <w:rFonts w:hint="eastAsia" w:ascii="宋体" w:hAnsi="宋体" w:cs="宋体"/>
          <w:color w:val="auto"/>
          <w:kern w:val="0"/>
          <w:sz w:val="24"/>
          <w:u w:val="none"/>
          <w:lang w:val="en-US" w:eastAsia="zh-CN"/>
        </w:rPr>
        <w:t>8</w:t>
      </w:r>
      <w:r>
        <w:rPr>
          <w:rFonts w:hint="eastAsia" w:ascii="宋体" w:hAnsi="宋体" w:cs="宋体"/>
          <w:color w:val="auto"/>
          <w:kern w:val="0"/>
          <w:sz w:val="24"/>
          <w:u w:val="none"/>
        </w:rPr>
        <w:t>日</w:t>
      </w:r>
    </w:p>
    <w:p w14:paraId="036669B1">
      <w:pPr>
        <w:keepNext w:val="0"/>
        <w:keepLines w:val="0"/>
        <w:pageBreakBefore w:val="0"/>
        <w:widowControl w:val="0"/>
        <w:kinsoku/>
        <w:wordWrap/>
        <w:overflowPunct/>
        <w:topLinePunct w:val="0"/>
        <w:autoSpaceDE/>
        <w:autoSpaceDN/>
        <w:bidi w:val="0"/>
        <w:adjustRightInd/>
        <w:spacing w:line="460" w:lineRule="exact"/>
        <w:jc w:val="both"/>
        <w:textAlignment w:val="auto"/>
        <w:rPr>
          <w:rFonts w:ascii="宋体" w:hAnsi="宋体" w:cs="宋体"/>
          <w:color w:val="auto"/>
          <w:kern w:val="0"/>
          <w:sz w:val="24"/>
          <w:u w:val="none"/>
        </w:rPr>
      </w:pPr>
    </w:p>
    <w:p w14:paraId="2AA877FD">
      <w:pPr>
        <w:keepNext w:val="0"/>
        <w:keepLines w:val="0"/>
        <w:pageBreakBefore w:val="0"/>
        <w:kinsoku/>
        <w:wordWrap/>
        <w:overflowPunct/>
        <w:topLinePunct w:val="0"/>
        <w:autoSpaceDE/>
        <w:autoSpaceDN/>
        <w:bidi w:val="0"/>
        <w:adjustRightInd/>
        <w:spacing w:line="460" w:lineRule="exact"/>
        <w:jc w:val="left"/>
        <w:textAlignment w:val="auto"/>
        <w:rPr>
          <w:rFonts w:hint="eastAsia"/>
          <w:color w:val="auto"/>
          <w:sz w:val="24"/>
          <w:szCs w:val="24"/>
          <w:u w:val="none"/>
          <w:lang w:val="en-US" w:eastAsia="zh-CN"/>
        </w:rPr>
      </w:pPr>
    </w:p>
    <w:p w14:paraId="11BA2CAE">
      <w:pPr>
        <w:keepNext w:val="0"/>
        <w:keepLines w:val="0"/>
        <w:pageBreakBefore w:val="0"/>
        <w:kinsoku/>
        <w:wordWrap/>
        <w:overflowPunct/>
        <w:topLinePunct w:val="0"/>
        <w:autoSpaceDE/>
        <w:autoSpaceDN/>
        <w:bidi w:val="0"/>
        <w:adjustRightInd/>
        <w:spacing w:line="460" w:lineRule="exact"/>
        <w:jc w:val="left"/>
        <w:textAlignment w:val="auto"/>
        <w:rPr>
          <w:rFonts w:hint="eastAsia"/>
          <w:color w:val="auto"/>
          <w:lang w:val="en-US" w:eastAsia="zh-CN"/>
        </w:rPr>
      </w:pPr>
      <w:r>
        <w:rPr>
          <w:rFonts w:hint="eastAsia"/>
          <w:color w:val="auto"/>
          <w:sz w:val="24"/>
          <w:szCs w:val="24"/>
          <w:u w:val="none"/>
          <w:lang w:val="en-US" w:eastAsia="zh-CN"/>
        </w:rPr>
        <w:t>附：</w:t>
      </w:r>
      <w:r>
        <w:rPr>
          <w:rFonts w:hint="eastAsia" w:ascii="宋体" w:hAnsi="宋体" w:cs="宋体"/>
          <w:color w:val="auto"/>
          <w:kern w:val="0"/>
          <w:sz w:val="24"/>
          <w:u w:val="none"/>
        </w:rPr>
        <w:t>《余姚市非住宅直管公房租赁合同</w:t>
      </w:r>
      <w:r>
        <w:rPr>
          <w:rFonts w:hint="eastAsia" w:ascii="宋体" w:hAnsi="宋体" w:cs="宋体"/>
          <w:color w:val="auto"/>
          <w:kern w:val="0"/>
          <w:sz w:val="24"/>
          <w:u w:val="none"/>
          <w:lang w:eastAsia="zh-CN"/>
        </w:rPr>
        <w:t>（样本）</w:t>
      </w:r>
      <w:r>
        <w:rPr>
          <w:rFonts w:hint="eastAsia" w:ascii="宋体" w:hAnsi="宋体" w:cs="宋体"/>
          <w:color w:val="auto"/>
          <w:kern w:val="0"/>
          <w:sz w:val="24"/>
          <w:u w:val="none"/>
        </w:rPr>
        <w:t>》</w:t>
      </w:r>
    </w:p>
    <w:p w14:paraId="6E0F63BB">
      <w:pPr>
        <w:keepNext w:val="0"/>
        <w:keepLines w:val="0"/>
        <w:pageBreakBefore w:val="0"/>
        <w:widowControl w:val="0"/>
        <w:kinsoku/>
        <w:wordWrap/>
        <w:overflowPunct/>
        <w:topLinePunct w:val="0"/>
        <w:autoSpaceDE/>
        <w:autoSpaceDN/>
        <w:bidi w:val="0"/>
        <w:adjustRightInd/>
        <w:spacing w:line="480" w:lineRule="exact"/>
        <w:jc w:val="both"/>
        <w:textAlignment w:val="auto"/>
        <w:rPr>
          <w:rFonts w:ascii="宋体" w:hAnsi="宋体" w:cs="宋体"/>
          <w:kern w:val="0"/>
          <w:sz w:val="24"/>
        </w:rPr>
      </w:pPr>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C20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101BC46">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7101BC4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FB39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mZDliNTI5MGEzNzgwZTIzY2FkY2YzNjVmMDI2NjIifQ=="/>
  </w:docVars>
  <w:rsids>
    <w:rsidRoot w:val="00172A27"/>
    <w:rsid w:val="00001BF2"/>
    <w:rsid w:val="00045C21"/>
    <w:rsid w:val="00051D02"/>
    <w:rsid w:val="00074363"/>
    <w:rsid w:val="00076B1F"/>
    <w:rsid w:val="0008084F"/>
    <w:rsid w:val="00094B6B"/>
    <w:rsid w:val="000A0C71"/>
    <w:rsid w:val="000A1A7D"/>
    <w:rsid w:val="000D799C"/>
    <w:rsid w:val="000E17D3"/>
    <w:rsid w:val="001073D3"/>
    <w:rsid w:val="0010742E"/>
    <w:rsid w:val="00142F53"/>
    <w:rsid w:val="001438B4"/>
    <w:rsid w:val="00147A96"/>
    <w:rsid w:val="00160034"/>
    <w:rsid w:val="00172447"/>
    <w:rsid w:val="00172A27"/>
    <w:rsid w:val="0018442A"/>
    <w:rsid w:val="00191CF7"/>
    <w:rsid w:val="001B3D6C"/>
    <w:rsid w:val="001C4795"/>
    <w:rsid w:val="001E29A0"/>
    <w:rsid w:val="00201493"/>
    <w:rsid w:val="00223611"/>
    <w:rsid w:val="00257C38"/>
    <w:rsid w:val="00270DB8"/>
    <w:rsid w:val="00276870"/>
    <w:rsid w:val="002915BB"/>
    <w:rsid w:val="00292E76"/>
    <w:rsid w:val="00296E90"/>
    <w:rsid w:val="002B768E"/>
    <w:rsid w:val="002D5839"/>
    <w:rsid w:val="002E092C"/>
    <w:rsid w:val="002E5992"/>
    <w:rsid w:val="002F40F8"/>
    <w:rsid w:val="0030733C"/>
    <w:rsid w:val="00310AD3"/>
    <w:rsid w:val="003331CF"/>
    <w:rsid w:val="0034229E"/>
    <w:rsid w:val="0035305A"/>
    <w:rsid w:val="003601C8"/>
    <w:rsid w:val="00370424"/>
    <w:rsid w:val="00373BE5"/>
    <w:rsid w:val="00381AF3"/>
    <w:rsid w:val="003855AF"/>
    <w:rsid w:val="003922B2"/>
    <w:rsid w:val="003C2EE3"/>
    <w:rsid w:val="003D622C"/>
    <w:rsid w:val="003E7D19"/>
    <w:rsid w:val="003F64AE"/>
    <w:rsid w:val="004058F8"/>
    <w:rsid w:val="00411943"/>
    <w:rsid w:val="004137B4"/>
    <w:rsid w:val="004447EA"/>
    <w:rsid w:val="00447A47"/>
    <w:rsid w:val="0046591A"/>
    <w:rsid w:val="00484009"/>
    <w:rsid w:val="00485FB0"/>
    <w:rsid w:val="00496E66"/>
    <w:rsid w:val="004B20DB"/>
    <w:rsid w:val="004B2220"/>
    <w:rsid w:val="004B3431"/>
    <w:rsid w:val="004C224D"/>
    <w:rsid w:val="004C3CF2"/>
    <w:rsid w:val="004E2C1C"/>
    <w:rsid w:val="00501B2B"/>
    <w:rsid w:val="005550F3"/>
    <w:rsid w:val="00561DFC"/>
    <w:rsid w:val="00580DA8"/>
    <w:rsid w:val="00593D36"/>
    <w:rsid w:val="0059603D"/>
    <w:rsid w:val="005A2CC1"/>
    <w:rsid w:val="005A72CC"/>
    <w:rsid w:val="005C03B8"/>
    <w:rsid w:val="005D7E8A"/>
    <w:rsid w:val="005E21DA"/>
    <w:rsid w:val="005E342E"/>
    <w:rsid w:val="005E4765"/>
    <w:rsid w:val="006545CE"/>
    <w:rsid w:val="00672116"/>
    <w:rsid w:val="00677D02"/>
    <w:rsid w:val="006802C1"/>
    <w:rsid w:val="006A7527"/>
    <w:rsid w:val="006B1839"/>
    <w:rsid w:val="006B7D2F"/>
    <w:rsid w:val="006D0FBD"/>
    <w:rsid w:val="006D2B9F"/>
    <w:rsid w:val="006E04D4"/>
    <w:rsid w:val="007145A7"/>
    <w:rsid w:val="00716B76"/>
    <w:rsid w:val="0073247F"/>
    <w:rsid w:val="00761C7A"/>
    <w:rsid w:val="00764EC8"/>
    <w:rsid w:val="00796362"/>
    <w:rsid w:val="007B4426"/>
    <w:rsid w:val="007D3AFD"/>
    <w:rsid w:val="007D6A39"/>
    <w:rsid w:val="007F56F6"/>
    <w:rsid w:val="007F6B2A"/>
    <w:rsid w:val="00821ADC"/>
    <w:rsid w:val="00852823"/>
    <w:rsid w:val="00854605"/>
    <w:rsid w:val="00875876"/>
    <w:rsid w:val="008875A4"/>
    <w:rsid w:val="00887B29"/>
    <w:rsid w:val="00893AC6"/>
    <w:rsid w:val="008B4CFB"/>
    <w:rsid w:val="008C2701"/>
    <w:rsid w:val="008D6298"/>
    <w:rsid w:val="008E2C19"/>
    <w:rsid w:val="008F2D68"/>
    <w:rsid w:val="008F4BA5"/>
    <w:rsid w:val="00922467"/>
    <w:rsid w:val="0092630D"/>
    <w:rsid w:val="009463F9"/>
    <w:rsid w:val="00951B76"/>
    <w:rsid w:val="00973D7C"/>
    <w:rsid w:val="00977DDE"/>
    <w:rsid w:val="009B7788"/>
    <w:rsid w:val="009C7EC7"/>
    <w:rsid w:val="009E4081"/>
    <w:rsid w:val="009E591E"/>
    <w:rsid w:val="009F08CD"/>
    <w:rsid w:val="00A0641E"/>
    <w:rsid w:val="00A2286E"/>
    <w:rsid w:val="00A61C20"/>
    <w:rsid w:val="00A63DF7"/>
    <w:rsid w:val="00A77D1D"/>
    <w:rsid w:val="00A84265"/>
    <w:rsid w:val="00AA77D6"/>
    <w:rsid w:val="00AD485B"/>
    <w:rsid w:val="00AD4E3A"/>
    <w:rsid w:val="00AD558A"/>
    <w:rsid w:val="00AE7BB1"/>
    <w:rsid w:val="00AF4D2E"/>
    <w:rsid w:val="00B01DAD"/>
    <w:rsid w:val="00B51CBE"/>
    <w:rsid w:val="00B568D1"/>
    <w:rsid w:val="00B665E9"/>
    <w:rsid w:val="00B94F17"/>
    <w:rsid w:val="00BB3AC2"/>
    <w:rsid w:val="00BB7E7D"/>
    <w:rsid w:val="00BD0929"/>
    <w:rsid w:val="00BE1465"/>
    <w:rsid w:val="00BE20B3"/>
    <w:rsid w:val="00BE3C86"/>
    <w:rsid w:val="00BF7F1C"/>
    <w:rsid w:val="00C077DB"/>
    <w:rsid w:val="00C35B2F"/>
    <w:rsid w:val="00C4638C"/>
    <w:rsid w:val="00C471B1"/>
    <w:rsid w:val="00C75B9B"/>
    <w:rsid w:val="00C76E90"/>
    <w:rsid w:val="00C80541"/>
    <w:rsid w:val="00C82180"/>
    <w:rsid w:val="00C8440A"/>
    <w:rsid w:val="00CB1303"/>
    <w:rsid w:val="00CD67AB"/>
    <w:rsid w:val="00CE574F"/>
    <w:rsid w:val="00CF1A8B"/>
    <w:rsid w:val="00D02A14"/>
    <w:rsid w:val="00D24697"/>
    <w:rsid w:val="00D47512"/>
    <w:rsid w:val="00D94E9B"/>
    <w:rsid w:val="00DA2EF4"/>
    <w:rsid w:val="00DC75EB"/>
    <w:rsid w:val="00DC7A16"/>
    <w:rsid w:val="00DD1A31"/>
    <w:rsid w:val="00DD1C25"/>
    <w:rsid w:val="00DD783B"/>
    <w:rsid w:val="00DE3DC6"/>
    <w:rsid w:val="00DE5A74"/>
    <w:rsid w:val="00DF0E40"/>
    <w:rsid w:val="00E079AD"/>
    <w:rsid w:val="00E109AE"/>
    <w:rsid w:val="00E14CC6"/>
    <w:rsid w:val="00E37DC2"/>
    <w:rsid w:val="00E420AF"/>
    <w:rsid w:val="00E42ADC"/>
    <w:rsid w:val="00E52510"/>
    <w:rsid w:val="00E64A99"/>
    <w:rsid w:val="00E7059D"/>
    <w:rsid w:val="00E72FFE"/>
    <w:rsid w:val="00E95E76"/>
    <w:rsid w:val="00EA6AF4"/>
    <w:rsid w:val="00EC2E42"/>
    <w:rsid w:val="00EC6782"/>
    <w:rsid w:val="00F136E7"/>
    <w:rsid w:val="00F21EA6"/>
    <w:rsid w:val="00F27C8B"/>
    <w:rsid w:val="00F31ABE"/>
    <w:rsid w:val="00F36C0E"/>
    <w:rsid w:val="00F4418E"/>
    <w:rsid w:val="00F53599"/>
    <w:rsid w:val="00F800BB"/>
    <w:rsid w:val="00F91155"/>
    <w:rsid w:val="00F9572E"/>
    <w:rsid w:val="00FB34AA"/>
    <w:rsid w:val="00FB39BE"/>
    <w:rsid w:val="00FD0A84"/>
    <w:rsid w:val="00FE48F4"/>
    <w:rsid w:val="0134185B"/>
    <w:rsid w:val="01353D0F"/>
    <w:rsid w:val="0149496F"/>
    <w:rsid w:val="01656CC4"/>
    <w:rsid w:val="018B1BF8"/>
    <w:rsid w:val="01BF6629"/>
    <w:rsid w:val="01C94F17"/>
    <w:rsid w:val="01D0349F"/>
    <w:rsid w:val="01DD41C2"/>
    <w:rsid w:val="02046F29"/>
    <w:rsid w:val="02AC0F47"/>
    <w:rsid w:val="02BA18AE"/>
    <w:rsid w:val="02CE17E8"/>
    <w:rsid w:val="02D72264"/>
    <w:rsid w:val="02FB6B16"/>
    <w:rsid w:val="031753A0"/>
    <w:rsid w:val="03191F32"/>
    <w:rsid w:val="036C52BA"/>
    <w:rsid w:val="0399158F"/>
    <w:rsid w:val="03D56A1F"/>
    <w:rsid w:val="03D57CB6"/>
    <w:rsid w:val="044C1F85"/>
    <w:rsid w:val="05B36BB2"/>
    <w:rsid w:val="05C432C0"/>
    <w:rsid w:val="05CA0F66"/>
    <w:rsid w:val="05CF5FA2"/>
    <w:rsid w:val="05EB03D3"/>
    <w:rsid w:val="069B75C0"/>
    <w:rsid w:val="06BA630B"/>
    <w:rsid w:val="06BA6D55"/>
    <w:rsid w:val="06D31875"/>
    <w:rsid w:val="06ED4932"/>
    <w:rsid w:val="07375BAD"/>
    <w:rsid w:val="073B3887"/>
    <w:rsid w:val="07693A2F"/>
    <w:rsid w:val="07872FDB"/>
    <w:rsid w:val="07E254FB"/>
    <w:rsid w:val="07ED3E6D"/>
    <w:rsid w:val="08035B97"/>
    <w:rsid w:val="08446FA0"/>
    <w:rsid w:val="084A4402"/>
    <w:rsid w:val="0865515F"/>
    <w:rsid w:val="086D16CA"/>
    <w:rsid w:val="08C178E9"/>
    <w:rsid w:val="08D93D0B"/>
    <w:rsid w:val="08F2216F"/>
    <w:rsid w:val="09485583"/>
    <w:rsid w:val="0A2F517D"/>
    <w:rsid w:val="0A327245"/>
    <w:rsid w:val="0A4C2C72"/>
    <w:rsid w:val="0A7232C9"/>
    <w:rsid w:val="0AE57816"/>
    <w:rsid w:val="0B2A511A"/>
    <w:rsid w:val="0B494793"/>
    <w:rsid w:val="0B642C7A"/>
    <w:rsid w:val="0B691990"/>
    <w:rsid w:val="0C03337B"/>
    <w:rsid w:val="0C627017"/>
    <w:rsid w:val="0DC21F49"/>
    <w:rsid w:val="0E35767A"/>
    <w:rsid w:val="0E5C78A3"/>
    <w:rsid w:val="0F307AB2"/>
    <w:rsid w:val="0FC73288"/>
    <w:rsid w:val="0FC91878"/>
    <w:rsid w:val="0FD4268B"/>
    <w:rsid w:val="102056F8"/>
    <w:rsid w:val="10294501"/>
    <w:rsid w:val="10861614"/>
    <w:rsid w:val="10E83790"/>
    <w:rsid w:val="1173782E"/>
    <w:rsid w:val="119E2974"/>
    <w:rsid w:val="124F64F3"/>
    <w:rsid w:val="127641B7"/>
    <w:rsid w:val="1277475A"/>
    <w:rsid w:val="128F5FB8"/>
    <w:rsid w:val="129836AF"/>
    <w:rsid w:val="12A9602F"/>
    <w:rsid w:val="12BE7C7F"/>
    <w:rsid w:val="12C47381"/>
    <w:rsid w:val="13043A46"/>
    <w:rsid w:val="130A686C"/>
    <w:rsid w:val="13204838"/>
    <w:rsid w:val="135E2714"/>
    <w:rsid w:val="13EA7D68"/>
    <w:rsid w:val="13FF0D0B"/>
    <w:rsid w:val="1417033E"/>
    <w:rsid w:val="142B35CE"/>
    <w:rsid w:val="14BA33A1"/>
    <w:rsid w:val="14C56374"/>
    <w:rsid w:val="15082937"/>
    <w:rsid w:val="15273D58"/>
    <w:rsid w:val="15811B5B"/>
    <w:rsid w:val="15884E79"/>
    <w:rsid w:val="15AE7982"/>
    <w:rsid w:val="15E038B4"/>
    <w:rsid w:val="15E07984"/>
    <w:rsid w:val="160A2881"/>
    <w:rsid w:val="163766BB"/>
    <w:rsid w:val="163D5F6B"/>
    <w:rsid w:val="166242C9"/>
    <w:rsid w:val="16CE0B7D"/>
    <w:rsid w:val="16DE0FC0"/>
    <w:rsid w:val="17237061"/>
    <w:rsid w:val="173F3FC6"/>
    <w:rsid w:val="175B7066"/>
    <w:rsid w:val="177E450E"/>
    <w:rsid w:val="17D45C0F"/>
    <w:rsid w:val="17FB5773"/>
    <w:rsid w:val="188D7E54"/>
    <w:rsid w:val="188F5300"/>
    <w:rsid w:val="18CB2F80"/>
    <w:rsid w:val="18EE193B"/>
    <w:rsid w:val="19582DBE"/>
    <w:rsid w:val="19627E1C"/>
    <w:rsid w:val="19FD549D"/>
    <w:rsid w:val="1ABE298D"/>
    <w:rsid w:val="1ADD5174"/>
    <w:rsid w:val="1AE257AE"/>
    <w:rsid w:val="1B3A2711"/>
    <w:rsid w:val="1B6B20A5"/>
    <w:rsid w:val="1B880CB1"/>
    <w:rsid w:val="1C256156"/>
    <w:rsid w:val="1C276622"/>
    <w:rsid w:val="1C3F5BE8"/>
    <w:rsid w:val="1C782696"/>
    <w:rsid w:val="1C8231BE"/>
    <w:rsid w:val="1C902058"/>
    <w:rsid w:val="1CC603B7"/>
    <w:rsid w:val="1CCB7770"/>
    <w:rsid w:val="1D1327C1"/>
    <w:rsid w:val="1D844366"/>
    <w:rsid w:val="1D8F06AE"/>
    <w:rsid w:val="1DC05D68"/>
    <w:rsid w:val="1DE678D0"/>
    <w:rsid w:val="1DF83E91"/>
    <w:rsid w:val="1DFC61F4"/>
    <w:rsid w:val="1E0400A7"/>
    <w:rsid w:val="1E4A5E39"/>
    <w:rsid w:val="1E6D11FC"/>
    <w:rsid w:val="1F113344"/>
    <w:rsid w:val="1F330EF8"/>
    <w:rsid w:val="1F4B7152"/>
    <w:rsid w:val="1F513CA8"/>
    <w:rsid w:val="1FB14406"/>
    <w:rsid w:val="20445990"/>
    <w:rsid w:val="205C1778"/>
    <w:rsid w:val="206264F9"/>
    <w:rsid w:val="208C3907"/>
    <w:rsid w:val="20A0788B"/>
    <w:rsid w:val="20D234E6"/>
    <w:rsid w:val="20DE431E"/>
    <w:rsid w:val="20ED1E65"/>
    <w:rsid w:val="211025E1"/>
    <w:rsid w:val="211830D2"/>
    <w:rsid w:val="21274DA2"/>
    <w:rsid w:val="215A3AB3"/>
    <w:rsid w:val="218F764D"/>
    <w:rsid w:val="222C7AB8"/>
    <w:rsid w:val="223022D3"/>
    <w:rsid w:val="228D71DB"/>
    <w:rsid w:val="23376A8B"/>
    <w:rsid w:val="236E0751"/>
    <w:rsid w:val="23A43FE3"/>
    <w:rsid w:val="240A1406"/>
    <w:rsid w:val="24110CB8"/>
    <w:rsid w:val="243510D4"/>
    <w:rsid w:val="248C288A"/>
    <w:rsid w:val="249B0A92"/>
    <w:rsid w:val="24A759DB"/>
    <w:rsid w:val="24B6761D"/>
    <w:rsid w:val="24D16AEA"/>
    <w:rsid w:val="254250A8"/>
    <w:rsid w:val="25AF2C6D"/>
    <w:rsid w:val="25B92378"/>
    <w:rsid w:val="26147F1F"/>
    <w:rsid w:val="268A3B90"/>
    <w:rsid w:val="26C40B4B"/>
    <w:rsid w:val="26D902D7"/>
    <w:rsid w:val="26FA5A34"/>
    <w:rsid w:val="27013B59"/>
    <w:rsid w:val="287C188E"/>
    <w:rsid w:val="288551E7"/>
    <w:rsid w:val="289066E0"/>
    <w:rsid w:val="29847A81"/>
    <w:rsid w:val="29D472C0"/>
    <w:rsid w:val="29E12EF9"/>
    <w:rsid w:val="2A36061B"/>
    <w:rsid w:val="2A556978"/>
    <w:rsid w:val="2A5C55CF"/>
    <w:rsid w:val="2AAD417B"/>
    <w:rsid w:val="2AB7228A"/>
    <w:rsid w:val="2ACD50AD"/>
    <w:rsid w:val="2AF7447D"/>
    <w:rsid w:val="2AFB0A23"/>
    <w:rsid w:val="2B1E4C8C"/>
    <w:rsid w:val="2B2A2FD9"/>
    <w:rsid w:val="2B805BCD"/>
    <w:rsid w:val="2BBC3B7F"/>
    <w:rsid w:val="2BBF048E"/>
    <w:rsid w:val="2BE5411B"/>
    <w:rsid w:val="2C0520D1"/>
    <w:rsid w:val="2C3C2E78"/>
    <w:rsid w:val="2C76366E"/>
    <w:rsid w:val="2C90798A"/>
    <w:rsid w:val="2C9B676F"/>
    <w:rsid w:val="2CA13EC5"/>
    <w:rsid w:val="2CAA7F15"/>
    <w:rsid w:val="2CB65C7D"/>
    <w:rsid w:val="2CE40145"/>
    <w:rsid w:val="2D1E1CE5"/>
    <w:rsid w:val="2D2F779D"/>
    <w:rsid w:val="2D312440"/>
    <w:rsid w:val="2D4D7E8B"/>
    <w:rsid w:val="2D662373"/>
    <w:rsid w:val="2D721A06"/>
    <w:rsid w:val="2D76092E"/>
    <w:rsid w:val="2D786770"/>
    <w:rsid w:val="2D9301F8"/>
    <w:rsid w:val="2DC071BC"/>
    <w:rsid w:val="2DCA40C4"/>
    <w:rsid w:val="2E4722CA"/>
    <w:rsid w:val="2EE9735C"/>
    <w:rsid w:val="2F081A5A"/>
    <w:rsid w:val="2F3D6487"/>
    <w:rsid w:val="2F690A46"/>
    <w:rsid w:val="2F7012D5"/>
    <w:rsid w:val="2FA141FE"/>
    <w:rsid w:val="2FD23E16"/>
    <w:rsid w:val="30311973"/>
    <w:rsid w:val="30E57FFF"/>
    <w:rsid w:val="31183C37"/>
    <w:rsid w:val="31210D3C"/>
    <w:rsid w:val="315166AB"/>
    <w:rsid w:val="31FB58A6"/>
    <w:rsid w:val="320B6E9B"/>
    <w:rsid w:val="322A49E5"/>
    <w:rsid w:val="322D3C62"/>
    <w:rsid w:val="323668DE"/>
    <w:rsid w:val="323D2EA7"/>
    <w:rsid w:val="32A939A4"/>
    <w:rsid w:val="32CB5278"/>
    <w:rsid w:val="32F95E0C"/>
    <w:rsid w:val="32FD4BA5"/>
    <w:rsid w:val="334A5598"/>
    <w:rsid w:val="33762B44"/>
    <w:rsid w:val="33F46BC6"/>
    <w:rsid w:val="33FA5003"/>
    <w:rsid w:val="34787C07"/>
    <w:rsid w:val="34D874BA"/>
    <w:rsid w:val="34EA3885"/>
    <w:rsid w:val="34F01CDA"/>
    <w:rsid w:val="34F860CC"/>
    <w:rsid w:val="3507519C"/>
    <w:rsid w:val="35301D0A"/>
    <w:rsid w:val="35661336"/>
    <w:rsid w:val="358A78ED"/>
    <w:rsid w:val="35981B85"/>
    <w:rsid w:val="35BC0135"/>
    <w:rsid w:val="35CB62DD"/>
    <w:rsid w:val="35FC6014"/>
    <w:rsid w:val="35FF4782"/>
    <w:rsid w:val="36392E40"/>
    <w:rsid w:val="3647730B"/>
    <w:rsid w:val="3650258D"/>
    <w:rsid w:val="36DE12F2"/>
    <w:rsid w:val="37766767"/>
    <w:rsid w:val="37A238FB"/>
    <w:rsid w:val="38535335"/>
    <w:rsid w:val="38637461"/>
    <w:rsid w:val="38990AA1"/>
    <w:rsid w:val="38AF2F46"/>
    <w:rsid w:val="38FD02F4"/>
    <w:rsid w:val="390C65EA"/>
    <w:rsid w:val="39544A8A"/>
    <w:rsid w:val="396B6DD4"/>
    <w:rsid w:val="39B91003"/>
    <w:rsid w:val="39C95FD0"/>
    <w:rsid w:val="39EE7A9E"/>
    <w:rsid w:val="3A080637"/>
    <w:rsid w:val="3A0F4ADC"/>
    <w:rsid w:val="3A257964"/>
    <w:rsid w:val="3A30455A"/>
    <w:rsid w:val="3AA05B89"/>
    <w:rsid w:val="3AFD63B4"/>
    <w:rsid w:val="3B121B64"/>
    <w:rsid w:val="3B145739"/>
    <w:rsid w:val="3B8A1A7E"/>
    <w:rsid w:val="3BB42506"/>
    <w:rsid w:val="3BCA1B8B"/>
    <w:rsid w:val="3BD57167"/>
    <w:rsid w:val="3C025A83"/>
    <w:rsid w:val="3C795D45"/>
    <w:rsid w:val="3C8E474E"/>
    <w:rsid w:val="3C992DC6"/>
    <w:rsid w:val="3C9E186E"/>
    <w:rsid w:val="3CA72724"/>
    <w:rsid w:val="3CEA09F1"/>
    <w:rsid w:val="3D20796B"/>
    <w:rsid w:val="3D604E89"/>
    <w:rsid w:val="3DD55545"/>
    <w:rsid w:val="3E1E3CAB"/>
    <w:rsid w:val="3E482613"/>
    <w:rsid w:val="3EDF3058"/>
    <w:rsid w:val="3F19622C"/>
    <w:rsid w:val="3F253F62"/>
    <w:rsid w:val="3F4624B6"/>
    <w:rsid w:val="3F5B1E05"/>
    <w:rsid w:val="3F7140F5"/>
    <w:rsid w:val="3F7F64A7"/>
    <w:rsid w:val="3F9B2DCE"/>
    <w:rsid w:val="3FB307B7"/>
    <w:rsid w:val="4061451C"/>
    <w:rsid w:val="407707ED"/>
    <w:rsid w:val="40AA0920"/>
    <w:rsid w:val="40D014C0"/>
    <w:rsid w:val="40DA0C10"/>
    <w:rsid w:val="40F95D14"/>
    <w:rsid w:val="414C2001"/>
    <w:rsid w:val="41607C54"/>
    <w:rsid w:val="41B24535"/>
    <w:rsid w:val="41CB00EC"/>
    <w:rsid w:val="41ED33A2"/>
    <w:rsid w:val="42401676"/>
    <w:rsid w:val="42406517"/>
    <w:rsid w:val="425D23F3"/>
    <w:rsid w:val="426D046C"/>
    <w:rsid w:val="427A2946"/>
    <w:rsid w:val="428A306B"/>
    <w:rsid w:val="42A55E25"/>
    <w:rsid w:val="432359D6"/>
    <w:rsid w:val="435C3280"/>
    <w:rsid w:val="43615785"/>
    <w:rsid w:val="439374D6"/>
    <w:rsid w:val="439B3922"/>
    <w:rsid w:val="43AE7DCC"/>
    <w:rsid w:val="43C55BC1"/>
    <w:rsid w:val="43CC3956"/>
    <w:rsid w:val="442830A5"/>
    <w:rsid w:val="443F11EF"/>
    <w:rsid w:val="447D7D11"/>
    <w:rsid w:val="44AB543E"/>
    <w:rsid w:val="44CB5A6D"/>
    <w:rsid w:val="44ED5522"/>
    <w:rsid w:val="45566A8C"/>
    <w:rsid w:val="456B6447"/>
    <w:rsid w:val="459D697D"/>
    <w:rsid w:val="45AF3FA5"/>
    <w:rsid w:val="46394FC6"/>
    <w:rsid w:val="46D53DA4"/>
    <w:rsid w:val="46EE7A0F"/>
    <w:rsid w:val="47397E0A"/>
    <w:rsid w:val="473E1D1D"/>
    <w:rsid w:val="47473E0B"/>
    <w:rsid w:val="478C1170"/>
    <w:rsid w:val="4795415F"/>
    <w:rsid w:val="47C9565F"/>
    <w:rsid w:val="47FA4464"/>
    <w:rsid w:val="480D0878"/>
    <w:rsid w:val="483B1360"/>
    <w:rsid w:val="486C1AB1"/>
    <w:rsid w:val="48774F00"/>
    <w:rsid w:val="487B4BF3"/>
    <w:rsid w:val="48835907"/>
    <w:rsid w:val="48C33317"/>
    <w:rsid w:val="48E41870"/>
    <w:rsid w:val="49773C28"/>
    <w:rsid w:val="49B80B02"/>
    <w:rsid w:val="49DC4035"/>
    <w:rsid w:val="4A042255"/>
    <w:rsid w:val="4A5B7D47"/>
    <w:rsid w:val="4A6F0AD8"/>
    <w:rsid w:val="4A761B16"/>
    <w:rsid w:val="4AF11F2F"/>
    <w:rsid w:val="4B7E556C"/>
    <w:rsid w:val="4B7F5906"/>
    <w:rsid w:val="4B8B339F"/>
    <w:rsid w:val="4BB00250"/>
    <w:rsid w:val="4C0213F4"/>
    <w:rsid w:val="4C4446AE"/>
    <w:rsid w:val="4C480112"/>
    <w:rsid w:val="4C6F4853"/>
    <w:rsid w:val="4C7A7701"/>
    <w:rsid w:val="4CFD684A"/>
    <w:rsid w:val="4D025E83"/>
    <w:rsid w:val="4D2A6BE7"/>
    <w:rsid w:val="4D2B4F8F"/>
    <w:rsid w:val="4D377E11"/>
    <w:rsid w:val="4D3D069B"/>
    <w:rsid w:val="4D43295F"/>
    <w:rsid w:val="4DF53F69"/>
    <w:rsid w:val="4E34602C"/>
    <w:rsid w:val="4E460AE6"/>
    <w:rsid w:val="4E505F0D"/>
    <w:rsid w:val="4E617863"/>
    <w:rsid w:val="4E6A4E77"/>
    <w:rsid w:val="4EA175B8"/>
    <w:rsid w:val="4EA417C5"/>
    <w:rsid w:val="4EC00138"/>
    <w:rsid w:val="4ED232B7"/>
    <w:rsid w:val="4EDD31D7"/>
    <w:rsid w:val="4EFD443D"/>
    <w:rsid w:val="4F041DA9"/>
    <w:rsid w:val="4F4915A7"/>
    <w:rsid w:val="4F6B75B6"/>
    <w:rsid w:val="4FA266B7"/>
    <w:rsid w:val="4FCA1762"/>
    <w:rsid w:val="4FDF015D"/>
    <w:rsid w:val="501D33AC"/>
    <w:rsid w:val="50871E3A"/>
    <w:rsid w:val="50AD614E"/>
    <w:rsid w:val="511503E1"/>
    <w:rsid w:val="51792864"/>
    <w:rsid w:val="51C71A20"/>
    <w:rsid w:val="520477FB"/>
    <w:rsid w:val="52082E5D"/>
    <w:rsid w:val="52D77EAA"/>
    <w:rsid w:val="52DB1578"/>
    <w:rsid w:val="5338194F"/>
    <w:rsid w:val="53413B53"/>
    <w:rsid w:val="53807425"/>
    <w:rsid w:val="53911E27"/>
    <w:rsid w:val="54394D97"/>
    <w:rsid w:val="5484681C"/>
    <w:rsid w:val="5490662A"/>
    <w:rsid w:val="549F0513"/>
    <w:rsid w:val="54A9691F"/>
    <w:rsid w:val="54D44008"/>
    <w:rsid w:val="54D728E6"/>
    <w:rsid w:val="550324C2"/>
    <w:rsid w:val="55125AD0"/>
    <w:rsid w:val="551C0163"/>
    <w:rsid w:val="55597600"/>
    <w:rsid w:val="55F03BF8"/>
    <w:rsid w:val="560976C3"/>
    <w:rsid w:val="569A7D90"/>
    <w:rsid w:val="57165388"/>
    <w:rsid w:val="574259FA"/>
    <w:rsid w:val="574A06FC"/>
    <w:rsid w:val="575255F7"/>
    <w:rsid w:val="57AD7E90"/>
    <w:rsid w:val="57E1549B"/>
    <w:rsid w:val="583F530D"/>
    <w:rsid w:val="587210B0"/>
    <w:rsid w:val="58AD2046"/>
    <w:rsid w:val="58DE293D"/>
    <w:rsid w:val="593A4D40"/>
    <w:rsid w:val="593E5EF4"/>
    <w:rsid w:val="595C18F0"/>
    <w:rsid w:val="596976EA"/>
    <w:rsid w:val="59891EF8"/>
    <w:rsid w:val="59A27341"/>
    <w:rsid w:val="59BC7EEF"/>
    <w:rsid w:val="5A011185"/>
    <w:rsid w:val="5A0A27AE"/>
    <w:rsid w:val="5A513A05"/>
    <w:rsid w:val="5A8C4263"/>
    <w:rsid w:val="5AE20B01"/>
    <w:rsid w:val="5B0516E2"/>
    <w:rsid w:val="5B22253E"/>
    <w:rsid w:val="5B2901E9"/>
    <w:rsid w:val="5B8D2D21"/>
    <w:rsid w:val="5B8D3EEF"/>
    <w:rsid w:val="5C802F74"/>
    <w:rsid w:val="5C86325F"/>
    <w:rsid w:val="5C946353"/>
    <w:rsid w:val="5C97102F"/>
    <w:rsid w:val="5CB07599"/>
    <w:rsid w:val="5CDD049B"/>
    <w:rsid w:val="5CDF2289"/>
    <w:rsid w:val="5D3C274B"/>
    <w:rsid w:val="5D97217A"/>
    <w:rsid w:val="5DD14BE9"/>
    <w:rsid w:val="5E2B5748"/>
    <w:rsid w:val="5EA93D0F"/>
    <w:rsid w:val="5F0D57CE"/>
    <w:rsid w:val="5F1A6ABC"/>
    <w:rsid w:val="5F252FFA"/>
    <w:rsid w:val="5F3833E6"/>
    <w:rsid w:val="5F832C78"/>
    <w:rsid w:val="5F851ACB"/>
    <w:rsid w:val="5FD27396"/>
    <w:rsid w:val="5FD55B32"/>
    <w:rsid w:val="5FEB304C"/>
    <w:rsid w:val="60822AF9"/>
    <w:rsid w:val="609A4BD3"/>
    <w:rsid w:val="60B90005"/>
    <w:rsid w:val="60F634AE"/>
    <w:rsid w:val="60F856A9"/>
    <w:rsid w:val="611933AE"/>
    <w:rsid w:val="6121185D"/>
    <w:rsid w:val="61471ACE"/>
    <w:rsid w:val="61C31A11"/>
    <w:rsid w:val="61D0084D"/>
    <w:rsid w:val="62005EEF"/>
    <w:rsid w:val="623C1EB4"/>
    <w:rsid w:val="6250716D"/>
    <w:rsid w:val="627209BD"/>
    <w:rsid w:val="62B77C63"/>
    <w:rsid w:val="62FE3BE6"/>
    <w:rsid w:val="63050ED2"/>
    <w:rsid w:val="63FB28D4"/>
    <w:rsid w:val="64561B9C"/>
    <w:rsid w:val="648806BE"/>
    <w:rsid w:val="64AA23BC"/>
    <w:rsid w:val="64B147DE"/>
    <w:rsid w:val="6501685F"/>
    <w:rsid w:val="654A5B17"/>
    <w:rsid w:val="656D3966"/>
    <w:rsid w:val="65975EE4"/>
    <w:rsid w:val="65AB4911"/>
    <w:rsid w:val="65D24D0D"/>
    <w:rsid w:val="65F32E0C"/>
    <w:rsid w:val="661F1614"/>
    <w:rsid w:val="662D46C4"/>
    <w:rsid w:val="6635242D"/>
    <w:rsid w:val="664A1B6B"/>
    <w:rsid w:val="66560AC6"/>
    <w:rsid w:val="66730101"/>
    <w:rsid w:val="66CD08B8"/>
    <w:rsid w:val="66EF318B"/>
    <w:rsid w:val="67247BAE"/>
    <w:rsid w:val="67331C0B"/>
    <w:rsid w:val="676C1430"/>
    <w:rsid w:val="67976F80"/>
    <w:rsid w:val="67C44D21"/>
    <w:rsid w:val="67D11A4E"/>
    <w:rsid w:val="684D52C4"/>
    <w:rsid w:val="68590ED9"/>
    <w:rsid w:val="68D960EB"/>
    <w:rsid w:val="69344C1E"/>
    <w:rsid w:val="697F233D"/>
    <w:rsid w:val="69931944"/>
    <w:rsid w:val="69BB1DA2"/>
    <w:rsid w:val="6A1828AA"/>
    <w:rsid w:val="6A296884"/>
    <w:rsid w:val="6A445335"/>
    <w:rsid w:val="6A846C3C"/>
    <w:rsid w:val="6A86532E"/>
    <w:rsid w:val="6A8832FB"/>
    <w:rsid w:val="6A9040D6"/>
    <w:rsid w:val="6B6141DE"/>
    <w:rsid w:val="6B787743"/>
    <w:rsid w:val="6C225202"/>
    <w:rsid w:val="6C2E7676"/>
    <w:rsid w:val="6C5A499B"/>
    <w:rsid w:val="6C760AB3"/>
    <w:rsid w:val="6C7C646E"/>
    <w:rsid w:val="6CB92BD1"/>
    <w:rsid w:val="6CD161EC"/>
    <w:rsid w:val="6CDF35C4"/>
    <w:rsid w:val="6DFC3ED2"/>
    <w:rsid w:val="6E316EA6"/>
    <w:rsid w:val="6E8C763E"/>
    <w:rsid w:val="6EE80984"/>
    <w:rsid w:val="6F130396"/>
    <w:rsid w:val="6F26070E"/>
    <w:rsid w:val="6F2651E4"/>
    <w:rsid w:val="6F310485"/>
    <w:rsid w:val="6F4D795C"/>
    <w:rsid w:val="6FFB46E7"/>
    <w:rsid w:val="70447E3C"/>
    <w:rsid w:val="7060454A"/>
    <w:rsid w:val="70B110BD"/>
    <w:rsid w:val="70CB47E1"/>
    <w:rsid w:val="70EA7767"/>
    <w:rsid w:val="70EC47EA"/>
    <w:rsid w:val="710A284E"/>
    <w:rsid w:val="713D058A"/>
    <w:rsid w:val="717711B4"/>
    <w:rsid w:val="717A3DA5"/>
    <w:rsid w:val="71A05546"/>
    <w:rsid w:val="71B47D4C"/>
    <w:rsid w:val="71D00A9E"/>
    <w:rsid w:val="721B0557"/>
    <w:rsid w:val="7237504A"/>
    <w:rsid w:val="724E4FA2"/>
    <w:rsid w:val="7275065F"/>
    <w:rsid w:val="72872D3A"/>
    <w:rsid w:val="72A20E4A"/>
    <w:rsid w:val="72F745C3"/>
    <w:rsid w:val="73003676"/>
    <w:rsid w:val="73970746"/>
    <w:rsid w:val="73B136CB"/>
    <w:rsid w:val="73B55051"/>
    <w:rsid w:val="73E97B7F"/>
    <w:rsid w:val="74040CD8"/>
    <w:rsid w:val="74267E75"/>
    <w:rsid w:val="744011B9"/>
    <w:rsid w:val="74580127"/>
    <w:rsid w:val="74AB65E8"/>
    <w:rsid w:val="74CF12E9"/>
    <w:rsid w:val="74F03CA1"/>
    <w:rsid w:val="74F846EB"/>
    <w:rsid w:val="75F2529F"/>
    <w:rsid w:val="766E45C4"/>
    <w:rsid w:val="769B255A"/>
    <w:rsid w:val="7739385F"/>
    <w:rsid w:val="777D3E7E"/>
    <w:rsid w:val="77996839"/>
    <w:rsid w:val="77B83BF6"/>
    <w:rsid w:val="781174F2"/>
    <w:rsid w:val="78361072"/>
    <w:rsid w:val="78422E7D"/>
    <w:rsid w:val="784D5990"/>
    <w:rsid w:val="785228DA"/>
    <w:rsid w:val="786575AD"/>
    <w:rsid w:val="787F0879"/>
    <w:rsid w:val="78A02FA0"/>
    <w:rsid w:val="78E9384A"/>
    <w:rsid w:val="794D5A65"/>
    <w:rsid w:val="79922C1B"/>
    <w:rsid w:val="79951709"/>
    <w:rsid w:val="79966DD3"/>
    <w:rsid w:val="79A84582"/>
    <w:rsid w:val="79B25E17"/>
    <w:rsid w:val="79C23BFC"/>
    <w:rsid w:val="79F301DD"/>
    <w:rsid w:val="7A843160"/>
    <w:rsid w:val="7A8772A3"/>
    <w:rsid w:val="7A904AD5"/>
    <w:rsid w:val="7A925730"/>
    <w:rsid w:val="7ABE6A3D"/>
    <w:rsid w:val="7AC72841"/>
    <w:rsid w:val="7B0839C7"/>
    <w:rsid w:val="7B186513"/>
    <w:rsid w:val="7B4435A2"/>
    <w:rsid w:val="7B651423"/>
    <w:rsid w:val="7B814910"/>
    <w:rsid w:val="7B87581E"/>
    <w:rsid w:val="7BF20F67"/>
    <w:rsid w:val="7C120713"/>
    <w:rsid w:val="7C263DF1"/>
    <w:rsid w:val="7C436E29"/>
    <w:rsid w:val="7C4F7E97"/>
    <w:rsid w:val="7C5517EE"/>
    <w:rsid w:val="7CD637D6"/>
    <w:rsid w:val="7CFD5A78"/>
    <w:rsid w:val="7D103724"/>
    <w:rsid w:val="7D511F32"/>
    <w:rsid w:val="7D537265"/>
    <w:rsid w:val="7D573AFD"/>
    <w:rsid w:val="7D676C50"/>
    <w:rsid w:val="7D6B1F87"/>
    <w:rsid w:val="7DA83579"/>
    <w:rsid w:val="7DD70C7F"/>
    <w:rsid w:val="7DE16E5C"/>
    <w:rsid w:val="7DE73065"/>
    <w:rsid w:val="7DEB0F98"/>
    <w:rsid w:val="7DF43ABC"/>
    <w:rsid w:val="7E222C36"/>
    <w:rsid w:val="7E7310D0"/>
    <w:rsid w:val="7E9A5D97"/>
    <w:rsid w:val="7EE959EB"/>
    <w:rsid w:val="7F9B1945"/>
    <w:rsid w:val="7FD8327F"/>
    <w:rsid w:val="7FDC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360" w:lineRule="auto"/>
      <w:ind w:left="540" w:firstLine="660" w:firstLineChars="275"/>
    </w:pPr>
    <w:rPr>
      <w:rFonts w:ascii="幼圆" w:eastAsia="幼圆"/>
      <w:sz w:val="24"/>
    </w:rPr>
  </w:style>
  <w:style w:type="paragraph" w:styleId="3">
    <w:name w:val="Date"/>
    <w:basedOn w:val="1"/>
    <w:next w:val="1"/>
    <w:autoRedefine/>
    <w:qFormat/>
    <w:uiPriority w:val="0"/>
    <w:pPr>
      <w:ind w:left="100" w:leftChars="2500"/>
    </w:pPr>
  </w:style>
  <w:style w:type="paragraph" w:styleId="4">
    <w:name w:val="Balloon Text"/>
    <w:basedOn w:val="1"/>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page number"/>
    <w:autoRedefine/>
    <w:qFormat/>
    <w:uiPriority w:val="0"/>
  </w:style>
  <w:style w:type="character" w:styleId="13">
    <w:name w:val="FollowedHyperlink"/>
    <w:autoRedefine/>
    <w:qFormat/>
    <w:uiPriority w:val="99"/>
    <w:rPr>
      <w:color w:val="666666"/>
      <w:u w:val="none"/>
    </w:rPr>
  </w:style>
  <w:style w:type="character" w:styleId="14">
    <w:name w:val="Hyperlink"/>
    <w:autoRedefine/>
    <w:qFormat/>
    <w:uiPriority w:val="99"/>
    <w:rPr>
      <w:color w:val="666666"/>
      <w:u w:val="none"/>
    </w:rPr>
  </w:style>
  <w:style w:type="character" w:customStyle="1" w:styleId="15">
    <w:name w:val="页脚 字符"/>
    <w:link w:val="5"/>
    <w:autoRedefine/>
    <w:qFormat/>
    <w:uiPriority w:val="0"/>
    <w:rPr>
      <w:kern w:val="2"/>
      <w:sz w:val="18"/>
      <w:szCs w:val="18"/>
    </w:rPr>
  </w:style>
  <w:style w:type="character" w:customStyle="1" w:styleId="16">
    <w:name w:val="页眉 字符"/>
    <w:link w:val="6"/>
    <w:autoRedefine/>
    <w:qFormat/>
    <w:uiPriority w:val="0"/>
    <w:rPr>
      <w:kern w:val="2"/>
      <w:sz w:val="18"/>
      <w:szCs w:val="18"/>
    </w:rPr>
  </w:style>
  <w:style w:type="paragraph" w:customStyle="1" w:styleId="17">
    <w:name w:val="_Style 15"/>
    <w:basedOn w:val="1"/>
    <w:autoRedefine/>
    <w:qFormat/>
    <w:uiPriority w:val="0"/>
    <w:pPr>
      <w:widowControl/>
      <w:spacing w:after="160" w:line="240" w:lineRule="exact"/>
      <w:ind w:firstLine="420" w:firstLineChars="200"/>
      <w:jc w:val="left"/>
    </w:pPr>
  </w:style>
  <w:style w:type="character" w:customStyle="1" w:styleId="18">
    <w:name w:val="l-open"/>
    <w:autoRedefine/>
    <w:qFormat/>
    <w:uiPriority w:val="0"/>
  </w:style>
  <w:style w:type="character" w:customStyle="1" w:styleId="19">
    <w:name w:val="folder"/>
    <w:autoRedefine/>
    <w:qFormat/>
    <w:uiPriority w:val="0"/>
  </w:style>
  <w:style w:type="character" w:customStyle="1" w:styleId="20">
    <w:name w:val="file"/>
    <w:autoRedefine/>
    <w:qFormat/>
    <w:uiPriority w:val="0"/>
  </w:style>
  <w:style w:type="paragraph" w:customStyle="1" w:styleId="21">
    <w:name w:val="_Style 1"/>
    <w:basedOn w:val="1"/>
    <w:autoRedefine/>
    <w:qFormat/>
    <w:uiPriority w:val="0"/>
    <w:pPr>
      <w:widowControl/>
      <w:spacing w:after="160" w:line="240" w:lineRule="exact"/>
      <w:ind w:firstLine="420" w:firstLineChars="200"/>
      <w:jc w:val="left"/>
    </w:pPr>
    <w:rPr>
      <w:szCs w:val="20"/>
    </w:rPr>
  </w:style>
  <w:style w:type="paragraph" w:customStyle="1" w:styleId="22">
    <w:name w:val="Char"/>
    <w:basedOn w:val="1"/>
    <w:autoRedefine/>
    <w:qFormat/>
    <w:uiPriority w:val="0"/>
    <w:pPr>
      <w:widowControl/>
      <w:spacing w:after="160" w:line="240" w:lineRule="exact"/>
      <w:ind w:firstLine="420" w:firstLineChars="200"/>
      <w:jc w:val="left"/>
    </w:pPr>
  </w:style>
  <w:style w:type="paragraph" w:customStyle="1" w:styleId="23">
    <w:name w:val="_Style 5"/>
    <w:basedOn w:val="1"/>
    <w:autoRedefine/>
    <w:qFormat/>
    <w:uiPriority w:val="0"/>
    <w:pPr>
      <w:widowControl/>
      <w:spacing w:after="160" w:line="240" w:lineRule="exact"/>
      <w:ind w:firstLine="420" w:firstLineChars="200"/>
      <w:jc w:val="left"/>
    </w:pPr>
    <w:rPr>
      <w:szCs w:val="20"/>
    </w:rPr>
  </w:style>
  <w:style w:type="paragraph" w:customStyle="1" w:styleId="24">
    <w:name w:val="Char Char"/>
    <w:basedOn w:val="1"/>
    <w:autoRedefine/>
    <w:qFormat/>
    <w:uiPriority w:val="0"/>
    <w:pPr>
      <w:widowControl/>
      <w:spacing w:after="160" w:line="240" w:lineRule="exact"/>
      <w:ind w:firstLine="420" w:firstLineChars="200"/>
      <w:jc w:val="left"/>
    </w:pPr>
  </w:style>
  <w:style w:type="paragraph" w:customStyle="1" w:styleId="25">
    <w:name w:val="Char Char1"/>
    <w:basedOn w:val="1"/>
    <w:autoRedefine/>
    <w:qFormat/>
    <w:uiPriority w:val="0"/>
    <w:pPr>
      <w:widowControl/>
      <w:spacing w:after="160" w:line="240" w:lineRule="exact"/>
      <w:ind w:firstLine="420" w:firstLineChars="200"/>
      <w:jc w:val="left"/>
    </w:pPr>
  </w:style>
  <w:style w:type="character" w:customStyle="1" w:styleId="26">
    <w:name w:val="font11"/>
    <w:autoRedefine/>
    <w:qFormat/>
    <w:uiPriority w:val="0"/>
    <w:rPr>
      <w:rFonts w:hint="eastAsia" w:ascii="宋体" w:hAnsi="宋体" w:eastAsia="宋体" w:cs="宋体"/>
      <w:color w:val="000000"/>
      <w:sz w:val="20"/>
      <w:szCs w:val="20"/>
      <w:u w:val="none"/>
    </w:rPr>
  </w:style>
  <w:style w:type="paragraph" w:customStyle="1" w:styleId="27">
    <w:name w:val=" Char Char"/>
    <w:basedOn w:val="1"/>
    <w:autoRedefine/>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6786</Words>
  <Characters>7239</Characters>
  <Lines>147</Lines>
  <Paragraphs>157</Paragraphs>
  <TotalTime>11</TotalTime>
  <ScaleCrop>false</ScaleCrop>
  <LinksUpToDate>false</LinksUpToDate>
  <CharactersWithSpaces>7382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2022-12-19T09:09:00Z</dcterms:created>
  <dc:creator>User</dc:creator>
  <cp:lastModifiedBy>Tina</cp:lastModifiedBy>
  <cp:lastPrinted>2024-02-05T08:40:00Z</cp:lastPrinted>
  <dcterms:modified xsi:type="dcterms:W3CDTF">2025-04-01T01:38:55Z</dcterms:modified>
  <dc:title>余姚市产权交易公告信息发布单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20D3D9A59BBB4B77AF2FEA4FEB75A553_13</vt:lpwstr>
  </property>
  <property fmtid="{D5CDD505-2E9C-101B-9397-08002B2CF9AE}" pid="4" name="KSOTemplateDocerSaveRecord">
    <vt:lpwstr>eyJoZGlkIjoiZTZkOTAzY2QxZjEzYmRlOWVlM2UwMjU3M2YwNjllZmEiLCJ1c2VySWQiOiIxOTg2MjE3OTAifQ==</vt:lpwstr>
  </property>
</Properties>
</file>