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CD68">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46C83518">
      <w:pPr>
        <w:spacing w:line="440" w:lineRule="atLeast"/>
        <w:jc w:val="center"/>
        <w:rPr>
          <w:rFonts w:hint="eastAsia" w:ascii="宋体" w:hAnsi="宋体"/>
          <w:b/>
          <w:color w:val="auto"/>
          <w:sz w:val="52"/>
          <w:szCs w:val="52"/>
        </w:rPr>
      </w:pPr>
    </w:p>
    <w:p w14:paraId="404FBE30">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1643D577">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51985B49">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50578B0D">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38899D59">
      <w:pPr>
        <w:spacing w:line="440" w:lineRule="atLeast"/>
        <w:jc w:val="center"/>
        <w:rPr>
          <w:rFonts w:hint="eastAsia" w:ascii="宋体" w:hAnsi="宋体"/>
          <w:b/>
          <w:bCs/>
          <w:color w:val="auto"/>
          <w:sz w:val="52"/>
          <w:szCs w:val="52"/>
        </w:rPr>
      </w:pPr>
    </w:p>
    <w:p w14:paraId="2583D3F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884" w:leftChars="117" w:right="0" w:rightChars="0" w:hanging="1638" w:hangingChars="680"/>
        <w:textAlignment w:val="auto"/>
        <w:rPr>
          <w:rFonts w:hint="eastAsia" w:ascii="宋体" w:hAnsi="宋体" w:cs="楷体_GB2312"/>
          <w:color w:val="auto"/>
          <w:sz w:val="24"/>
          <w:lang w:eastAsia="zh-CN"/>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余姚经济开发区西南园区配套道路(一期)工程K6+970-K7+140 桥梁左侧刷坡段</w:t>
      </w:r>
    </w:p>
    <w:p w14:paraId="5815189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76" w:leftChars="798" w:right="0" w:rightChars="0" w:firstLine="55" w:firstLineChars="23"/>
        <w:textAlignment w:val="auto"/>
        <w:rPr>
          <w:rFonts w:hint="eastAsia" w:ascii="宋体" w:hAnsi="宋体" w:cs="宋体"/>
          <w:color w:val="auto"/>
          <w:kern w:val="0"/>
          <w:szCs w:val="21"/>
        </w:rPr>
      </w:pPr>
      <w:r>
        <w:rPr>
          <w:rFonts w:hint="eastAsia" w:ascii="宋体" w:hAnsi="宋体" w:cs="楷体_GB2312"/>
          <w:color w:val="auto"/>
          <w:sz w:val="24"/>
          <w:lang w:eastAsia="zh-CN"/>
        </w:rPr>
        <w:t>多余土石料（第二次）</w:t>
      </w:r>
      <w:r>
        <w:rPr>
          <w:rFonts w:hint="eastAsia" w:ascii="宋体" w:hAnsi="宋体" w:cs="宋体"/>
          <w:color w:val="auto"/>
          <w:kern w:val="0"/>
          <w:sz w:val="24"/>
        </w:rPr>
        <w:t>拍卖会</w:t>
      </w:r>
    </w:p>
    <w:p w14:paraId="76DCEA41">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444" w:leftChars="114" w:right="0" w:rightChars="0" w:hanging="1205" w:hangingChars="500"/>
        <w:textAlignment w:val="auto"/>
        <w:rPr>
          <w:rFonts w:hint="eastAsia" w:ascii="宋体" w:hAnsi="宋体" w:eastAsia="宋体" w:cs="宋体"/>
          <w:color w:val="auto"/>
          <w:kern w:val="0"/>
          <w:sz w:val="24"/>
          <w:lang w:eastAsia="zh-CN"/>
        </w:rPr>
      </w:pPr>
      <w:r>
        <w:rPr>
          <w:rFonts w:hint="eastAsia" w:ascii="宋体" w:hAnsi="宋体"/>
          <w:b/>
          <w:color w:val="auto"/>
          <w:sz w:val="24"/>
        </w:rPr>
        <w:t>拍卖标的：</w:t>
      </w:r>
      <w:r>
        <w:rPr>
          <w:rFonts w:hint="eastAsia" w:ascii="宋体" w:hAnsi="宋体"/>
          <w:b w:val="0"/>
          <w:bCs/>
          <w:color w:val="auto"/>
          <w:sz w:val="24"/>
          <w:lang w:eastAsia="zh-CN"/>
        </w:rPr>
        <w:t>余姚经济开发区西南园区配套道路(一期)工程K6+970-K7+140 桥梁左侧刷坡段多余土石料</w:t>
      </w:r>
    </w:p>
    <w:p w14:paraId="4EF673F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default" w:ascii="宋体" w:hAnsi="宋体" w:cs="宋体"/>
          <w:color w:val="auto"/>
          <w:kern w:val="0"/>
          <w:sz w:val="24"/>
          <w:lang w:val="en-US" w:eastAsia="zh-CN"/>
        </w:rPr>
      </w:pPr>
      <w:r>
        <w:rPr>
          <w:rFonts w:hint="eastAsia" w:ascii="宋体" w:hAnsi="宋体" w:cs="宋体"/>
          <w:b/>
          <w:color w:val="auto"/>
          <w:kern w:val="0"/>
          <w:sz w:val="24"/>
        </w:rPr>
        <w:t>拍卖</w:t>
      </w:r>
      <w:r>
        <w:rPr>
          <w:rFonts w:hint="eastAsia" w:ascii="宋体" w:hAnsi="宋体" w:cs="宋体"/>
          <w:b/>
          <w:color w:val="auto"/>
          <w:kern w:val="0"/>
          <w:sz w:val="24"/>
          <w:lang w:eastAsia="zh-CN"/>
        </w:rPr>
        <w:t>会</w:t>
      </w:r>
      <w:r>
        <w:rPr>
          <w:rFonts w:hint="eastAsia" w:ascii="宋体" w:hAnsi="宋体" w:cs="宋体"/>
          <w:b/>
          <w:color w:val="auto"/>
          <w:kern w:val="0"/>
          <w:sz w:val="24"/>
        </w:rPr>
        <w:t>时间：</w:t>
      </w: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10</w:t>
      </w:r>
      <w:r>
        <w:rPr>
          <w:rFonts w:hint="eastAsia" w:ascii="宋体" w:hAnsi="宋体" w:cs="宋体"/>
          <w:color w:val="auto"/>
          <w:kern w:val="0"/>
          <w:sz w:val="24"/>
        </w:rPr>
        <w:t>月</w:t>
      </w:r>
      <w:r>
        <w:rPr>
          <w:rFonts w:hint="eastAsia" w:ascii="宋体" w:hAnsi="宋体" w:cs="宋体"/>
          <w:color w:val="auto"/>
          <w:kern w:val="0"/>
          <w:sz w:val="24"/>
          <w:lang w:val="en-US" w:eastAsia="zh-CN"/>
        </w:rPr>
        <w:t>16</w:t>
      </w:r>
      <w:r>
        <w:rPr>
          <w:rFonts w:hint="eastAsia" w:ascii="宋体" w:hAnsi="宋体" w:cs="宋体"/>
          <w:color w:val="auto"/>
          <w:kern w:val="0"/>
          <w:sz w:val="24"/>
        </w:rPr>
        <w:t>日上午</w:t>
      </w:r>
      <w:r>
        <w:rPr>
          <w:rFonts w:hint="eastAsia" w:ascii="宋体" w:hAnsi="宋体" w:cs="宋体"/>
          <w:color w:val="auto"/>
          <w:kern w:val="0"/>
          <w:sz w:val="24"/>
          <w:lang w:val="en-US" w:eastAsia="zh-CN"/>
        </w:rPr>
        <w:t>9时</w:t>
      </w:r>
    </w:p>
    <w:p w14:paraId="777B9736">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eastAsia="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b w:val="0"/>
          <w:bCs/>
          <w:color w:val="auto"/>
          <w:kern w:val="0"/>
          <w:sz w:val="24"/>
          <w:highlight w:val="none"/>
          <w:lang w:eastAsia="zh-CN"/>
        </w:rPr>
        <w:t>余姚市政务服务中心（谭家岭东路2号）4楼开标室&lt;1&gt;</w:t>
      </w:r>
    </w:p>
    <w:p w14:paraId="61FBDB41">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cs="宋体"/>
          <w:b w:val="0"/>
          <w:bCs/>
          <w:color w:val="auto"/>
          <w:kern w:val="0"/>
          <w:sz w:val="24"/>
          <w:u w:val="none"/>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37A02976">
      <w:pPr>
        <w:pStyle w:val="3"/>
        <w:rPr>
          <w:rFonts w:hint="eastAsia"/>
          <w:lang w:eastAsia="zh-CN"/>
        </w:rPr>
      </w:pPr>
    </w:p>
    <w:p w14:paraId="27C6BE3A">
      <w:pPr>
        <w:spacing w:after="93" w:afterLines="30" w:line="500" w:lineRule="exact"/>
        <w:ind w:firstLine="283" w:firstLineChars="118"/>
        <w:rPr>
          <w:rFonts w:ascii="宋体" w:hAnsi="宋体"/>
          <w:color w:val="auto"/>
          <w:sz w:val="24"/>
        </w:rPr>
      </w:pPr>
      <w:r>
        <w:rPr>
          <w:rFonts w:hint="eastAsia" w:ascii="宋体" w:hAnsi="宋体"/>
          <w:color w:val="auto"/>
          <w:sz w:val="24"/>
        </w:rPr>
        <w:t>公司地址：浙江省余姚市舜水北路16号</w:t>
      </w:r>
    </w:p>
    <w:p w14:paraId="6531A88A">
      <w:pPr>
        <w:spacing w:after="93" w:afterLines="30" w:line="500" w:lineRule="exact"/>
        <w:ind w:firstLine="283" w:firstLineChars="118"/>
        <w:rPr>
          <w:rFonts w:hint="eastAsia" w:ascii="宋体" w:hAnsi="宋体"/>
          <w:b/>
          <w:color w:val="auto"/>
          <w:sz w:val="44"/>
          <w:szCs w:val="4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1AF5E4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6EC5DA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48485626">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39904E15">
      <w:pPr>
        <w:keepNext w:val="0"/>
        <w:keepLines w:val="0"/>
        <w:pageBreakBefore w:val="0"/>
        <w:widowControl w:val="0"/>
        <w:kinsoku/>
        <w:wordWrap/>
        <w:overflowPunct/>
        <w:topLinePunct w:val="0"/>
        <w:autoSpaceDE/>
        <w:autoSpaceDN/>
        <w:bidi w:val="0"/>
        <w:adjustRightInd/>
        <w:snapToGrid/>
        <w:spacing w:line="38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61FD8208">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0313A43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1ECDA169">
      <w:pPr>
        <w:keepNext w:val="0"/>
        <w:keepLines w:val="0"/>
        <w:pageBreakBefore w:val="0"/>
        <w:widowControl w:val="0"/>
        <w:kinsoku/>
        <w:wordWrap/>
        <w:overflowPunct/>
        <w:topLinePunct w:val="0"/>
        <w:autoSpaceDE/>
        <w:autoSpaceDN/>
        <w:bidi w:val="0"/>
        <w:adjustRightInd/>
        <w:snapToGrid/>
        <w:spacing w:before="157" w:beforeLines="50" w:after="156" w:afterLines="50" w:line="3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2BCAA3CD">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80" w:lineRule="exact"/>
        <w:ind w:firstLine="482" w:firstLineChars="200"/>
        <w:jc w:val="both"/>
        <w:textAlignment w:val="auto"/>
        <w:rPr>
          <w:rFonts w:hint="eastAsia" w:ascii="宋体" w:hAnsi="宋体" w:eastAsia="宋体" w:cs="宋体"/>
          <w:b w:val="0"/>
          <w:bCs/>
          <w:color w:val="auto"/>
          <w:kern w:val="0"/>
          <w:sz w:val="24"/>
          <w:szCs w:val="24"/>
          <w:highlight w:val="none"/>
          <w:lang w:eastAsia="zh-CN"/>
        </w:rPr>
      </w:pPr>
      <w:r>
        <w:rPr>
          <w:rFonts w:hint="eastAsia" w:ascii="宋体" w:hAnsi="宋体"/>
          <w:b/>
          <w:color w:val="auto"/>
          <w:sz w:val="24"/>
          <w:highlight w:val="none"/>
        </w:rPr>
        <w:t>第四条  拍卖标的</w:t>
      </w:r>
      <w:r>
        <w:rPr>
          <w:rFonts w:hint="eastAsia" w:ascii="宋体" w:hAnsi="宋体"/>
          <w:b/>
          <w:color w:val="auto"/>
          <w:sz w:val="24"/>
          <w:highlight w:val="none"/>
          <w:lang w:eastAsia="zh-CN"/>
        </w:rPr>
        <w:t>：</w:t>
      </w:r>
      <w:r>
        <w:rPr>
          <w:rFonts w:hint="eastAsia" w:ascii="宋体" w:hAnsi="宋体" w:cs="宋体"/>
          <w:b w:val="0"/>
          <w:bCs/>
          <w:color w:val="auto"/>
          <w:kern w:val="0"/>
          <w:sz w:val="24"/>
          <w:szCs w:val="24"/>
          <w:highlight w:val="none"/>
          <w:lang w:eastAsia="zh-CN"/>
        </w:rPr>
        <w:t>余姚经济开发区西南园区配套道路(一期)工程K6+970-K7+140 桥梁左侧刷坡段多余土石料（以下简称“标的物”），项目区位于余姚市城区中心北西侧320°方位直距约3.5km 处，中心地理坐标为东经121°07′07″，北纬30°03′20″，行政隶属余姚市阳明街道。开挖区面积：约5832平方米，具体坐标范围详见下表。工程期限：具体以工程实际开挖进度为准。设计拟开挖量：0.84万立方米（约1.96万吨）。起拍价（不含税）：人民币</w:t>
      </w:r>
      <w:r>
        <w:rPr>
          <w:rFonts w:hint="eastAsia" w:ascii="宋体" w:hAnsi="宋体" w:eastAsia="宋体" w:cs="宋体"/>
          <w:b w:val="0"/>
          <w:bCs/>
          <w:color w:val="000000"/>
          <w:kern w:val="0"/>
          <w:sz w:val="24"/>
          <w:lang w:val="en-US" w:eastAsia="zh-CN"/>
        </w:rPr>
        <w:t>18.01</w:t>
      </w:r>
      <w:r>
        <w:rPr>
          <w:rFonts w:hint="eastAsia" w:ascii="宋体" w:hAnsi="宋体" w:cs="宋体"/>
          <w:b w:val="0"/>
          <w:bCs/>
          <w:color w:val="auto"/>
          <w:kern w:val="0"/>
          <w:sz w:val="24"/>
          <w:szCs w:val="24"/>
          <w:highlight w:val="none"/>
          <w:lang w:eastAsia="zh-CN"/>
        </w:rPr>
        <w:t>万元；竞买保证金：人民币3万元。</w:t>
      </w:r>
    </w:p>
    <w:p w14:paraId="6F3DE5D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0" w:lineRule="exact"/>
        <w:ind w:firstLine="482" w:firstLineChars="20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项目估算范围控制性拐点坐标表</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9"/>
        <w:gridCol w:w="1560"/>
        <w:gridCol w:w="1139"/>
        <w:gridCol w:w="1559"/>
        <w:gridCol w:w="1567"/>
      </w:tblGrid>
      <w:tr w14:paraId="0D9F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7A1EF1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拐点号</w:t>
            </w:r>
          </w:p>
        </w:tc>
        <w:tc>
          <w:tcPr>
            <w:tcW w:w="1559" w:type="dxa"/>
            <w:noWrap w:val="0"/>
            <w:vAlign w:val="center"/>
          </w:tcPr>
          <w:p w14:paraId="0720B603">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X</w:t>
            </w:r>
          </w:p>
        </w:tc>
        <w:tc>
          <w:tcPr>
            <w:tcW w:w="1560" w:type="dxa"/>
            <w:noWrap w:val="0"/>
            <w:vAlign w:val="center"/>
          </w:tcPr>
          <w:p w14:paraId="6B01738E">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Y</w:t>
            </w:r>
          </w:p>
        </w:tc>
        <w:tc>
          <w:tcPr>
            <w:tcW w:w="1139" w:type="dxa"/>
            <w:noWrap w:val="0"/>
            <w:vAlign w:val="center"/>
          </w:tcPr>
          <w:p w14:paraId="32B036A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拐点号</w:t>
            </w:r>
          </w:p>
        </w:tc>
        <w:tc>
          <w:tcPr>
            <w:tcW w:w="1559" w:type="dxa"/>
            <w:noWrap w:val="0"/>
            <w:vAlign w:val="center"/>
          </w:tcPr>
          <w:p w14:paraId="2EA8CA1C">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X</w:t>
            </w:r>
          </w:p>
        </w:tc>
        <w:tc>
          <w:tcPr>
            <w:tcW w:w="1567" w:type="dxa"/>
            <w:noWrap w:val="0"/>
            <w:vAlign w:val="center"/>
          </w:tcPr>
          <w:p w14:paraId="5577A795">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Y</w:t>
            </w:r>
          </w:p>
        </w:tc>
      </w:tr>
      <w:tr w14:paraId="1D047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962007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w:t>
            </w:r>
          </w:p>
        </w:tc>
        <w:tc>
          <w:tcPr>
            <w:tcW w:w="1559" w:type="dxa"/>
            <w:noWrap w:val="0"/>
            <w:vAlign w:val="center"/>
          </w:tcPr>
          <w:p w14:paraId="73C1E561">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262623.36</w:t>
            </w:r>
          </w:p>
        </w:tc>
        <w:tc>
          <w:tcPr>
            <w:tcW w:w="1560" w:type="dxa"/>
            <w:noWrap w:val="0"/>
            <w:vAlign w:val="center"/>
          </w:tcPr>
          <w:p w14:paraId="350CB05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126088.75</w:t>
            </w:r>
          </w:p>
        </w:tc>
        <w:tc>
          <w:tcPr>
            <w:tcW w:w="1139" w:type="dxa"/>
            <w:noWrap w:val="0"/>
            <w:vAlign w:val="center"/>
          </w:tcPr>
          <w:p w14:paraId="615DEA71">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J18</w:t>
            </w:r>
          </w:p>
        </w:tc>
        <w:tc>
          <w:tcPr>
            <w:tcW w:w="1559" w:type="dxa"/>
            <w:noWrap w:val="0"/>
            <w:vAlign w:val="center"/>
          </w:tcPr>
          <w:p w14:paraId="569B6EBF">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262555.70</w:t>
            </w:r>
          </w:p>
        </w:tc>
        <w:tc>
          <w:tcPr>
            <w:tcW w:w="1567" w:type="dxa"/>
            <w:noWrap w:val="0"/>
            <w:vAlign w:val="center"/>
          </w:tcPr>
          <w:p w14:paraId="098E00BB">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125965.15</w:t>
            </w:r>
          </w:p>
        </w:tc>
      </w:tr>
      <w:tr w14:paraId="6B6A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D239EE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w:t>
            </w:r>
          </w:p>
        </w:tc>
        <w:tc>
          <w:tcPr>
            <w:tcW w:w="1559" w:type="dxa"/>
            <w:noWrap w:val="0"/>
            <w:vAlign w:val="center"/>
          </w:tcPr>
          <w:p w14:paraId="555BEDC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262626.06</w:t>
            </w:r>
          </w:p>
        </w:tc>
        <w:tc>
          <w:tcPr>
            <w:tcW w:w="1560" w:type="dxa"/>
            <w:noWrap w:val="0"/>
            <w:vAlign w:val="center"/>
          </w:tcPr>
          <w:p w14:paraId="4F3B7B9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126090.01</w:t>
            </w:r>
          </w:p>
        </w:tc>
        <w:tc>
          <w:tcPr>
            <w:tcW w:w="1139" w:type="dxa"/>
            <w:noWrap w:val="0"/>
            <w:vAlign w:val="center"/>
          </w:tcPr>
          <w:p w14:paraId="0FA2F01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J19</w:t>
            </w:r>
          </w:p>
        </w:tc>
        <w:tc>
          <w:tcPr>
            <w:tcW w:w="1559" w:type="dxa"/>
            <w:noWrap w:val="0"/>
            <w:vAlign w:val="center"/>
          </w:tcPr>
          <w:p w14:paraId="152EB0B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262554.55</w:t>
            </w:r>
          </w:p>
        </w:tc>
        <w:tc>
          <w:tcPr>
            <w:tcW w:w="1567" w:type="dxa"/>
            <w:noWrap w:val="0"/>
            <w:vAlign w:val="center"/>
          </w:tcPr>
          <w:p w14:paraId="2D2EE27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125969.78</w:t>
            </w:r>
          </w:p>
        </w:tc>
      </w:tr>
      <w:tr w14:paraId="2F89D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A255AE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w:t>
            </w:r>
          </w:p>
        </w:tc>
        <w:tc>
          <w:tcPr>
            <w:tcW w:w="1559" w:type="dxa"/>
            <w:noWrap w:val="0"/>
            <w:vAlign w:val="center"/>
          </w:tcPr>
          <w:p w14:paraId="537809D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262634.50</w:t>
            </w:r>
          </w:p>
        </w:tc>
        <w:tc>
          <w:tcPr>
            <w:tcW w:w="1560" w:type="dxa"/>
            <w:noWrap w:val="0"/>
            <w:vAlign w:val="center"/>
          </w:tcPr>
          <w:p w14:paraId="276E9C5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126093.25</w:t>
            </w:r>
          </w:p>
        </w:tc>
        <w:tc>
          <w:tcPr>
            <w:tcW w:w="1139" w:type="dxa"/>
            <w:noWrap w:val="0"/>
            <w:vAlign w:val="center"/>
          </w:tcPr>
          <w:p w14:paraId="68806E3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J20</w:t>
            </w:r>
          </w:p>
        </w:tc>
        <w:tc>
          <w:tcPr>
            <w:tcW w:w="1559" w:type="dxa"/>
            <w:noWrap w:val="0"/>
            <w:vAlign w:val="center"/>
          </w:tcPr>
          <w:p w14:paraId="53B7E6F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262553.68</w:t>
            </w:r>
          </w:p>
        </w:tc>
        <w:tc>
          <w:tcPr>
            <w:tcW w:w="1567" w:type="dxa"/>
            <w:noWrap w:val="0"/>
            <w:vAlign w:val="center"/>
          </w:tcPr>
          <w:p w14:paraId="3A4E436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125980.29</w:t>
            </w:r>
          </w:p>
        </w:tc>
      </w:tr>
      <w:tr w14:paraId="456F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CB647E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J4</w:t>
            </w:r>
          </w:p>
        </w:tc>
        <w:tc>
          <w:tcPr>
            <w:tcW w:w="1559" w:type="dxa"/>
            <w:noWrap w:val="0"/>
            <w:vAlign w:val="center"/>
          </w:tcPr>
          <w:p w14:paraId="32F8C83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262642.13</w:t>
            </w:r>
          </w:p>
        </w:tc>
        <w:tc>
          <w:tcPr>
            <w:tcW w:w="1560" w:type="dxa"/>
            <w:noWrap w:val="0"/>
            <w:vAlign w:val="center"/>
          </w:tcPr>
          <w:p w14:paraId="73CA63C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126094.90</w:t>
            </w:r>
          </w:p>
        </w:tc>
        <w:tc>
          <w:tcPr>
            <w:tcW w:w="1139" w:type="dxa"/>
            <w:noWrap w:val="0"/>
            <w:vAlign w:val="center"/>
          </w:tcPr>
          <w:p w14:paraId="79998A1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J21</w:t>
            </w:r>
          </w:p>
        </w:tc>
        <w:tc>
          <w:tcPr>
            <w:tcW w:w="1559" w:type="dxa"/>
            <w:noWrap w:val="0"/>
            <w:vAlign w:val="center"/>
          </w:tcPr>
          <w:p w14:paraId="7B592EE3">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262558.93</w:t>
            </w:r>
          </w:p>
        </w:tc>
        <w:tc>
          <w:tcPr>
            <w:tcW w:w="1567" w:type="dxa"/>
            <w:noWrap w:val="0"/>
            <w:vAlign w:val="center"/>
          </w:tcPr>
          <w:p w14:paraId="7056E31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126003.92</w:t>
            </w:r>
          </w:p>
        </w:tc>
      </w:tr>
      <w:tr w14:paraId="7F6AA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E25C63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J5</w:t>
            </w:r>
          </w:p>
        </w:tc>
        <w:tc>
          <w:tcPr>
            <w:tcW w:w="1559" w:type="dxa"/>
            <w:noWrap w:val="0"/>
            <w:vAlign w:val="center"/>
          </w:tcPr>
          <w:p w14:paraId="7C4482E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262647.37</w:t>
            </w:r>
          </w:p>
        </w:tc>
        <w:tc>
          <w:tcPr>
            <w:tcW w:w="1560" w:type="dxa"/>
            <w:noWrap w:val="0"/>
            <w:vAlign w:val="center"/>
          </w:tcPr>
          <w:p w14:paraId="05F84B6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126095.79</w:t>
            </w:r>
          </w:p>
        </w:tc>
        <w:tc>
          <w:tcPr>
            <w:tcW w:w="1139" w:type="dxa"/>
            <w:noWrap w:val="0"/>
            <w:vAlign w:val="center"/>
          </w:tcPr>
          <w:p w14:paraId="55810823">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J22</w:t>
            </w:r>
          </w:p>
        </w:tc>
        <w:tc>
          <w:tcPr>
            <w:tcW w:w="1559" w:type="dxa"/>
            <w:noWrap w:val="0"/>
            <w:vAlign w:val="center"/>
          </w:tcPr>
          <w:p w14:paraId="43259A6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262559.72</w:t>
            </w:r>
          </w:p>
        </w:tc>
        <w:tc>
          <w:tcPr>
            <w:tcW w:w="1567" w:type="dxa"/>
            <w:noWrap w:val="0"/>
            <w:vAlign w:val="center"/>
          </w:tcPr>
          <w:p w14:paraId="1226115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126008.01</w:t>
            </w:r>
          </w:p>
        </w:tc>
      </w:tr>
      <w:tr w14:paraId="5F4D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F3087E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J6</w:t>
            </w:r>
          </w:p>
        </w:tc>
        <w:tc>
          <w:tcPr>
            <w:tcW w:w="1559" w:type="dxa"/>
            <w:noWrap w:val="0"/>
            <w:vAlign w:val="center"/>
          </w:tcPr>
          <w:p w14:paraId="1C1FBD8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262653.51</w:t>
            </w:r>
          </w:p>
        </w:tc>
        <w:tc>
          <w:tcPr>
            <w:tcW w:w="1560" w:type="dxa"/>
            <w:noWrap w:val="0"/>
            <w:vAlign w:val="center"/>
          </w:tcPr>
          <w:p w14:paraId="73442D9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126089.43</w:t>
            </w:r>
          </w:p>
        </w:tc>
        <w:tc>
          <w:tcPr>
            <w:tcW w:w="1139" w:type="dxa"/>
            <w:noWrap w:val="0"/>
            <w:vAlign w:val="center"/>
          </w:tcPr>
          <w:p w14:paraId="5D340ADF">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J23</w:t>
            </w:r>
          </w:p>
        </w:tc>
        <w:tc>
          <w:tcPr>
            <w:tcW w:w="1559" w:type="dxa"/>
            <w:noWrap w:val="0"/>
            <w:vAlign w:val="center"/>
          </w:tcPr>
          <w:p w14:paraId="2B3D71B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262561.43</w:t>
            </w:r>
          </w:p>
        </w:tc>
        <w:tc>
          <w:tcPr>
            <w:tcW w:w="1567" w:type="dxa"/>
            <w:noWrap w:val="0"/>
            <w:vAlign w:val="center"/>
          </w:tcPr>
          <w:p w14:paraId="3EED891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126013.50</w:t>
            </w:r>
          </w:p>
        </w:tc>
      </w:tr>
      <w:tr w14:paraId="3B5C2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D8F546B">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J7</w:t>
            </w:r>
          </w:p>
        </w:tc>
        <w:tc>
          <w:tcPr>
            <w:tcW w:w="1559" w:type="dxa"/>
            <w:noWrap w:val="0"/>
            <w:vAlign w:val="center"/>
          </w:tcPr>
          <w:p w14:paraId="5FCBB77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262645.57</w:t>
            </w:r>
          </w:p>
        </w:tc>
        <w:tc>
          <w:tcPr>
            <w:tcW w:w="1560" w:type="dxa"/>
            <w:noWrap w:val="0"/>
            <w:vAlign w:val="center"/>
          </w:tcPr>
          <w:p w14:paraId="4911CFE3">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126075.35</w:t>
            </w:r>
          </w:p>
        </w:tc>
        <w:tc>
          <w:tcPr>
            <w:tcW w:w="1139" w:type="dxa"/>
            <w:noWrap w:val="0"/>
            <w:vAlign w:val="center"/>
          </w:tcPr>
          <w:p w14:paraId="3AECA7D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J24</w:t>
            </w:r>
          </w:p>
        </w:tc>
        <w:tc>
          <w:tcPr>
            <w:tcW w:w="1559" w:type="dxa"/>
            <w:noWrap w:val="0"/>
            <w:vAlign w:val="center"/>
          </w:tcPr>
          <w:p w14:paraId="606AAFE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262564.65</w:t>
            </w:r>
          </w:p>
        </w:tc>
        <w:tc>
          <w:tcPr>
            <w:tcW w:w="1567" w:type="dxa"/>
            <w:noWrap w:val="0"/>
            <w:vAlign w:val="center"/>
          </w:tcPr>
          <w:p w14:paraId="0B783DC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126019.99</w:t>
            </w:r>
          </w:p>
        </w:tc>
      </w:tr>
      <w:tr w14:paraId="72CF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A83413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J8</w:t>
            </w:r>
          </w:p>
        </w:tc>
        <w:tc>
          <w:tcPr>
            <w:tcW w:w="1559" w:type="dxa"/>
            <w:noWrap w:val="0"/>
            <w:vAlign w:val="center"/>
          </w:tcPr>
          <w:p w14:paraId="74641AA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262624.85</w:t>
            </w:r>
          </w:p>
        </w:tc>
        <w:tc>
          <w:tcPr>
            <w:tcW w:w="1560" w:type="dxa"/>
            <w:noWrap w:val="0"/>
            <w:vAlign w:val="center"/>
          </w:tcPr>
          <w:p w14:paraId="7180224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126043.21</w:t>
            </w:r>
          </w:p>
        </w:tc>
        <w:tc>
          <w:tcPr>
            <w:tcW w:w="1139" w:type="dxa"/>
            <w:noWrap w:val="0"/>
            <w:vAlign w:val="center"/>
          </w:tcPr>
          <w:p w14:paraId="6186807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J25</w:t>
            </w:r>
          </w:p>
        </w:tc>
        <w:tc>
          <w:tcPr>
            <w:tcW w:w="1559" w:type="dxa"/>
            <w:noWrap w:val="0"/>
            <w:vAlign w:val="center"/>
          </w:tcPr>
          <w:p w14:paraId="0FDEAC4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262574.36</w:t>
            </w:r>
          </w:p>
        </w:tc>
        <w:tc>
          <w:tcPr>
            <w:tcW w:w="1567" w:type="dxa"/>
            <w:noWrap w:val="0"/>
            <w:vAlign w:val="center"/>
          </w:tcPr>
          <w:p w14:paraId="2768CCEF">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126038.09</w:t>
            </w:r>
          </w:p>
        </w:tc>
      </w:tr>
      <w:tr w14:paraId="7397C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7A955A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J9</w:t>
            </w:r>
          </w:p>
        </w:tc>
        <w:tc>
          <w:tcPr>
            <w:tcW w:w="1559" w:type="dxa"/>
            <w:noWrap w:val="0"/>
            <w:vAlign w:val="center"/>
          </w:tcPr>
          <w:p w14:paraId="75E52BEC">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262612.89</w:t>
            </w:r>
          </w:p>
        </w:tc>
        <w:tc>
          <w:tcPr>
            <w:tcW w:w="1560" w:type="dxa"/>
            <w:noWrap w:val="0"/>
            <w:vAlign w:val="center"/>
          </w:tcPr>
          <w:p w14:paraId="10EAC88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126022.20</w:t>
            </w:r>
          </w:p>
        </w:tc>
        <w:tc>
          <w:tcPr>
            <w:tcW w:w="1139" w:type="dxa"/>
            <w:noWrap w:val="0"/>
            <w:vAlign w:val="center"/>
          </w:tcPr>
          <w:p w14:paraId="611E7B91">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J26</w:t>
            </w:r>
          </w:p>
        </w:tc>
        <w:tc>
          <w:tcPr>
            <w:tcW w:w="1559" w:type="dxa"/>
            <w:noWrap w:val="0"/>
            <w:vAlign w:val="center"/>
          </w:tcPr>
          <w:p w14:paraId="572E76E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262581.62</w:t>
            </w:r>
          </w:p>
        </w:tc>
        <w:tc>
          <w:tcPr>
            <w:tcW w:w="1567" w:type="dxa"/>
            <w:noWrap w:val="0"/>
            <w:vAlign w:val="center"/>
          </w:tcPr>
          <w:p w14:paraId="0A049FE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126049.80</w:t>
            </w:r>
          </w:p>
        </w:tc>
      </w:tr>
      <w:tr w14:paraId="1636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64483D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J10</w:t>
            </w:r>
          </w:p>
        </w:tc>
        <w:tc>
          <w:tcPr>
            <w:tcW w:w="1559" w:type="dxa"/>
            <w:noWrap w:val="0"/>
            <w:vAlign w:val="center"/>
          </w:tcPr>
          <w:p w14:paraId="644CB87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262595.75</w:t>
            </w:r>
          </w:p>
        </w:tc>
        <w:tc>
          <w:tcPr>
            <w:tcW w:w="1560" w:type="dxa"/>
            <w:noWrap w:val="0"/>
            <w:vAlign w:val="center"/>
          </w:tcPr>
          <w:p w14:paraId="7FC11A5F">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125983.41</w:t>
            </w:r>
          </w:p>
        </w:tc>
        <w:tc>
          <w:tcPr>
            <w:tcW w:w="1139" w:type="dxa"/>
            <w:noWrap w:val="0"/>
            <w:vAlign w:val="center"/>
          </w:tcPr>
          <w:p w14:paraId="52029CF4">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J27</w:t>
            </w:r>
          </w:p>
        </w:tc>
        <w:tc>
          <w:tcPr>
            <w:tcW w:w="1559" w:type="dxa"/>
            <w:noWrap w:val="0"/>
            <w:vAlign w:val="center"/>
          </w:tcPr>
          <w:p w14:paraId="7387EDB4">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262584.43</w:t>
            </w:r>
          </w:p>
        </w:tc>
        <w:tc>
          <w:tcPr>
            <w:tcW w:w="1567" w:type="dxa"/>
            <w:noWrap w:val="0"/>
            <w:vAlign w:val="center"/>
          </w:tcPr>
          <w:p w14:paraId="453C615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126053.79</w:t>
            </w:r>
          </w:p>
        </w:tc>
      </w:tr>
      <w:tr w14:paraId="33CD8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789EC8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J11</w:t>
            </w:r>
          </w:p>
        </w:tc>
        <w:tc>
          <w:tcPr>
            <w:tcW w:w="1559" w:type="dxa"/>
            <w:noWrap w:val="0"/>
            <w:vAlign w:val="center"/>
          </w:tcPr>
          <w:p w14:paraId="6E9799D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262587.24</w:t>
            </w:r>
          </w:p>
        </w:tc>
        <w:tc>
          <w:tcPr>
            <w:tcW w:w="1560" w:type="dxa"/>
            <w:noWrap w:val="0"/>
            <w:vAlign w:val="center"/>
          </w:tcPr>
          <w:p w14:paraId="4D708B7C">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125963.18</w:t>
            </w:r>
          </w:p>
        </w:tc>
        <w:tc>
          <w:tcPr>
            <w:tcW w:w="1139" w:type="dxa"/>
            <w:noWrap w:val="0"/>
            <w:vAlign w:val="center"/>
          </w:tcPr>
          <w:p w14:paraId="417C30D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J28</w:t>
            </w:r>
          </w:p>
        </w:tc>
        <w:tc>
          <w:tcPr>
            <w:tcW w:w="1559" w:type="dxa"/>
            <w:noWrap w:val="0"/>
            <w:vAlign w:val="center"/>
          </w:tcPr>
          <w:p w14:paraId="22A65BCD">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262590.99</w:t>
            </w:r>
          </w:p>
        </w:tc>
        <w:tc>
          <w:tcPr>
            <w:tcW w:w="1567" w:type="dxa"/>
            <w:noWrap w:val="0"/>
            <w:vAlign w:val="center"/>
          </w:tcPr>
          <w:p w14:paraId="0A90284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126060.21</w:t>
            </w:r>
          </w:p>
        </w:tc>
      </w:tr>
      <w:tr w14:paraId="266A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3CFCF2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J12</w:t>
            </w:r>
          </w:p>
        </w:tc>
        <w:tc>
          <w:tcPr>
            <w:tcW w:w="1559" w:type="dxa"/>
            <w:noWrap w:val="0"/>
            <w:vAlign w:val="center"/>
          </w:tcPr>
          <w:p w14:paraId="5FD19C4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262581.94</w:t>
            </w:r>
          </w:p>
        </w:tc>
        <w:tc>
          <w:tcPr>
            <w:tcW w:w="1560" w:type="dxa"/>
            <w:noWrap w:val="0"/>
            <w:vAlign w:val="center"/>
          </w:tcPr>
          <w:p w14:paraId="6F0B4BB4">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125954.44</w:t>
            </w:r>
          </w:p>
        </w:tc>
        <w:tc>
          <w:tcPr>
            <w:tcW w:w="1139" w:type="dxa"/>
            <w:noWrap w:val="0"/>
            <w:vAlign w:val="center"/>
          </w:tcPr>
          <w:p w14:paraId="60A00BF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J29</w:t>
            </w:r>
          </w:p>
        </w:tc>
        <w:tc>
          <w:tcPr>
            <w:tcW w:w="1559" w:type="dxa"/>
            <w:noWrap w:val="0"/>
            <w:vAlign w:val="center"/>
          </w:tcPr>
          <w:p w14:paraId="553A778C">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262596.05</w:t>
            </w:r>
          </w:p>
        </w:tc>
        <w:tc>
          <w:tcPr>
            <w:tcW w:w="1567" w:type="dxa"/>
            <w:noWrap w:val="0"/>
            <w:vAlign w:val="center"/>
          </w:tcPr>
          <w:p w14:paraId="5CA5C65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126065.78</w:t>
            </w:r>
          </w:p>
        </w:tc>
      </w:tr>
      <w:tr w14:paraId="77EA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471686E">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J13</w:t>
            </w:r>
          </w:p>
        </w:tc>
        <w:tc>
          <w:tcPr>
            <w:tcW w:w="1559" w:type="dxa"/>
            <w:noWrap w:val="0"/>
            <w:vAlign w:val="center"/>
          </w:tcPr>
          <w:p w14:paraId="6AA720E8">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262576.50</w:t>
            </w:r>
          </w:p>
        </w:tc>
        <w:tc>
          <w:tcPr>
            <w:tcW w:w="1560" w:type="dxa"/>
            <w:noWrap w:val="0"/>
            <w:vAlign w:val="center"/>
          </w:tcPr>
          <w:p w14:paraId="2421FD0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125949.88</w:t>
            </w:r>
          </w:p>
        </w:tc>
        <w:tc>
          <w:tcPr>
            <w:tcW w:w="1139" w:type="dxa"/>
            <w:noWrap w:val="0"/>
            <w:vAlign w:val="center"/>
          </w:tcPr>
          <w:p w14:paraId="5B201CC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J30</w:t>
            </w:r>
          </w:p>
        </w:tc>
        <w:tc>
          <w:tcPr>
            <w:tcW w:w="1559" w:type="dxa"/>
            <w:noWrap w:val="0"/>
            <w:vAlign w:val="center"/>
          </w:tcPr>
          <w:p w14:paraId="65D5EB2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262601.95</w:t>
            </w:r>
          </w:p>
        </w:tc>
        <w:tc>
          <w:tcPr>
            <w:tcW w:w="1567" w:type="dxa"/>
            <w:noWrap w:val="0"/>
            <w:vAlign w:val="center"/>
          </w:tcPr>
          <w:p w14:paraId="0A156173">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126070.75</w:t>
            </w:r>
          </w:p>
        </w:tc>
      </w:tr>
      <w:tr w14:paraId="39E44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A1C5AD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J14</w:t>
            </w:r>
          </w:p>
        </w:tc>
        <w:tc>
          <w:tcPr>
            <w:tcW w:w="1559" w:type="dxa"/>
            <w:noWrap w:val="0"/>
            <w:vAlign w:val="center"/>
          </w:tcPr>
          <w:p w14:paraId="78A9B56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262569.26</w:t>
            </w:r>
          </w:p>
        </w:tc>
        <w:tc>
          <w:tcPr>
            <w:tcW w:w="1560" w:type="dxa"/>
            <w:noWrap w:val="0"/>
            <w:vAlign w:val="center"/>
          </w:tcPr>
          <w:p w14:paraId="5593816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125948.32</w:t>
            </w:r>
          </w:p>
        </w:tc>
        <w:tc>
          <w:tcPr>
            <w:tcW w:w="1139" w:type="dxa"/>
            <w:noWrap w:val="0"/>
            <w:vAlign w:val="center"/>
          </w:tcPr>
          <w:p w14:paraId="6F97642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J31</w:t>
            </w:r>
          </w:p>
        </w:tc>
        <w:tc>
          <w:tcPr>
            <w:tcW w:w="1559" w:type="dxa"/>
            <w:noWrap w:val="0"/>
            <w:vAlign w:val="center"/>
          </w:tcPr>
          <w:p w14:paraId="3493E6E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262606.13</w:t>
            </w:r>
          </w:p>
        </w:tc>
        <w:tc>
          <w:tcPr>
            <w:tcW w:w="1567" w:type="dxa"/>
            <w:noWrap w:val="0"/>
            <w:vAlign w:val="center"/>
          </w:tcPr>
          <w:p w14:paraId="549E797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126074.50</w:t>
            </w:r>
          </w:p>
        </w:tc>
      </w:tr>
      <w:tr w14:paraId="581FF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73CB826">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J15</w:t>
            </w:r>
          </w:p>
        </w:tc>
        <w:tc>
          <w:tcPr>
            <w:tcW w:w="1559" w:type="dxa"/>
            <w:noWrap w:val="0"/>
            <w:vAlign w:val="center"/>
          </w:tcPr>
          <w:p w14:paraId="361DD85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262563.81</w:t>
            </w:r>
          </w:p>
        </w:tc>
        <w:tc>
          <w:tcPr>
            <w:tcW w:w="1560" w:type="dxa"/>
            <w:noWrap w:val="0"/>
            <w:vAlign w:val="center"/>
          </w:tcPr>
          <w:p w14:paraId="3A92AFC7">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125951.22</w:t>
            </w:r>
          </w:p>
        </w:tc>
        <w:tc>
          <w:tcPr>
            <w:tcW w:w="1139" w:type="dxa"/>
            <w:noWrap w:val="0"/>
            <w:vAlign w:val="center"/>
          </w:tcPr>
          <w:p w14:paraId="5CD185E2">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J32</w:t>
            </w:r>
          </w:p>
        </w:tc>
        <w:tc>
          <w:tcPr>
            <w:tcW w:w="1559" w:type="dxa"/>
            <w:noWrap w:val="0"/>
            <w:vAlign w:val="center"/>
          </w:tcPr>
          <w:p w14:paraId="3DBA20B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262613.47</w:t>
            </w:r>
          </w:p>
        </w:tc>
        <w:tc>
          <w:tcPr>
            <w:tcW w:w="1567" w:type="dxa"/>
            <w:noWrap w:val="0"/>
            <w:vAlign w:val="center"/>
          </w:tcPr>
          <w:p w14:paraId="6901D575">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126080.18</w:t>
            </w:r>
          </w:p>
        </w:tc>
      </w:tr>
      <w:tr w14:paraId="7B77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2A8AAA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J16</w:t>
            </w:r>
          </w:p>
        </w:tc>
        <w:tc>
          <w:tcPr>
            <w:tcW w:w="1559" w:type="dxa"/>
            <w:noWrap w:val="0"/>
            <w:vAlign w:val="center"/>
          </w:tcPr>
          <w:p w14:paraId="14ED5639">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262555.86</w:t>
            </w:r>
          </w:p>
        </w:tc>
        <w:tc>
          <w:tcPr>
            <w:tcW w:w="1560" w:type="dxa"/>
            <w:noWrap w:val="0"/>
            <w:vAlign w:val="center"/>
          </w:tcPr>
          <w:p w14:paraId="6CBBE6BD">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125957.61</w:t>
            </w:r>
          </w:p>
        </w:tc>
        <w:tc>
          <w:tcPr>
            <w:tcW w:w="1139" w:type="dxa"/>
            <w:noWrap w:val="0"/>
            <w:vAlign w:val="center"/>
          </w:tcPr>
          <w:p w14:paraId="2597F0DB">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J33</w:t>
            </w:r>
          </w:p>
        </w:tc>
        <w:tc>
          <w:tcPr>
            <w:tcW w:w="1559" w:type="dxa"/>
            <w:noWrap w:val="0"/>
            <w:vAlign w:val="center"/>
          </w:tcPr>
          <w:p w14:paraId="714AB65D">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262619.41</w:t>
            </w:r>
          </w:p>
        </w:tc>
        <w:tc>
          <w:tcPr>
            <w:tcW w:w="1567" w:type="dxa"/>
            <w:noWrap w:val="0"/>
            <w:vAlign w:val="center"/>
          </w:tcPr>
          <w:p w14:paraId="191BF0CC">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126085.65</w:t>
            </w:r>
          </w:p>
        </w:tc>
      </w:tr>
      <w:tr w14:paraId="2437C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ED931A0">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J17</w:t>
            </w:r>
          </w:p>
        </w:tc>
        <w:tc>
          <w:tcPr>
            <w:tcW w:w="1559" w:type="dxa"/>
            <w:noWrap w:val="0"/>
            <w:vAlign w:val="center"/>
          </w:tcPr>
          <w:p w14:paraId="579A5F2D">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262558.11</w:t>
            </w:r>
          </w:p>
        </w:tc>
        <w:tc>
          <w:tcPr>
            <w:tcW w:w="1560" w:type="dxa"/>
            <w:noWrap w:val="0"/>
            <w:vAlign w:val="center"/>
          </w:tcPr>
          <w:p w14:paraId="65895C1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125962.35</w:t>
            </w:r>
          </w:p>
        </w:tc>
        <w:tc>
          <w:tcPr>
            <w:tcW w:w="1139" w:type="dxa"/>
            <w:noWrap w:val="0"/>
            <w:vAlign w:val="center"/>
          </w:tcPr>
          <w:p w14:paraId="0A799EC0">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p>
        </w:tc>
        <w:tc>
          <w:tcPr>
            <w:tcW w:w="1559" w:type="dxa"/>
            <w:noWrap w:val="0"/>
            <w:vAlign w:val="center"/>
          </w:tcPr>
          <w:p w14:paraId="07D3E8B8">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p>
        </w:tc>
        <w:tc>
          <w:tcPr>
            <w:tcW w:w="1567" w:type="dxa"/>
            <w:noWrap w:val="0"/>
            <w:vAlign w:val="center"/>
          </w:tcPr>
          <w:p w14:paraId="053691B4">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rPr>
            </w:pPr>
          </w:p>
        </w:tc>
      </w:tr>
      <w:tr w14:paraId="5165C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527" w:type="dxa"/>
            <w:gridSpan w:val="6"/>
            <w:noWrap w:val="0"/>
            <w:vAlign w:val="center"/>
          </w:tcPr>
          <w:p w14:paraId="7D020A1A">
            <w:pPr>
              <w:pStyle w:val="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（宁波市</w:t>
            </w:r>
            <w:r>
              <w:rPr>
                <w:rFonts w:hint="eastAsia" w:ascii="宋体" w:hAnsi="宋体" w:eastAsia="宋体" w:cs="宋体"/>
                <w:spacing w:val="-45"/>
                <w:sz w:val="21"/>
                <w:szCs w:val="21"/>
                <w:lang w:eastAsia="zh-CN"/>
              </w:rPr>
              <w:t xml:space="preserve"> </w:t>
            </w:r>
            <w:r>
              <w:rPr>
                <w:rFonts w:hint="eastAsia" w:ascii="宋体" w:hAnsi="宋体" w:eastAsia="宋体" w:cs="宋体"/>
                <w:spacing w:val="-5"/>
                <w:sz w:val="21"/>
                <w:szCs w:val="21"/>
                <w:lang w:eastAsia="zh-CN"/>
              </w:rPr>
              <w:t>2000 坐标系，1985</w:t>
            </w:r>
            <w:r>
              <w:rPr>
                <w:rFonts w:hint="eastAsia" w:ascii="宋体" w:hAnsi="宋体" w:eastAsia="宋体" w:cs="宋体"/>
                <w:spacing w:val="24"/>
                <w:sz w:val="21"/>
                <w:szCs w:val="21"/>
                <w:lang w:eastAsia="zh-CN"/>
              </w:rPr>
              <w:t xml:space="preserve"> </w:t>
            </w:r>
            <w:r>
              <w:rPr>
                <w:rFonts w:hint="eastAsia" w:ascii="宋体" w:hAnsi="宋体" w:eastAsia="宋体" w:cs="宋体"/>
                <w:spacing w:val="-5"/>
                <w:sz w:val="21"/>
                <w:szCs w:val="21"/>
                <w:lang w:eastAsia="zh-CN"/>
              </w:rPr>
              <w:t>国家高程基准）</w:t>
            </w:r>
          </w:p>
        </w:tc>
      </w:tr>
    </w:tbl>
    <w:p w14:paraId="757983A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w:t>
      </w:r>
      <w:r>
        <w:rPr>
          <w:rFonts w:hint="eastAsia" w:ascii="宋体" w:hAnsi="宋体" w:cs="宋体"/>
          <w:b w:val="0"/>
          <w:bCs/>
          <w:color w:val="000000" w:themeColor="text1"/>
          <w:kern w:val="0"/>
          <w:sz w:val="24"/>
          <w:szCs w:val="24"/>
          <w:lang w:eastAsia="zh-CN"/>
          <w14:textFill>
            <w14:solidFill>
              <w14:schemeClr w14:val="tx1"/>
            </w14:solidFill>
          </w14:textFill>
        </w:rPr>
        <w:t>（一）</w:t>
      </w:r>
      <w:r>
        <w:rPr>
          <w:rFonts w:hint="eastAsia" w:ascii="宋体" w:hAnsi="宋体" w:eastAsia="宋体" w:cs="宋体"/>
          <w:color w:val="000000" w:themeColor="text1"/>
          <w:kern w:val="0"/>
          <w:sz w:val="24"/>
          <w:szCs w:val="24"/>
          <w:lang w:val="en-US" w:eastAsia="zh-CN"/>
          <w14:textFill>
            <w14:solidFill>
              <w14:schemeClr w14:val="tx1"/>
            </w14:solidFill>
          </w14:textFill>
        </w:rPr>
        <w:t>根据《土石料量估算报告》（ZGK14-B2024-071)，开挖区岩石以风化层为主，风化岩石经采样测试，抗压强度均较低，可作宕碴综合利用。</w:t>
      </w:r>
    </w:p>
    <w:p w14:paraId="2B7865C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kern w:val="0"/>
          <w:sz w:val="24"/>
          <w:szCs w:val="24"/>
          <w:lang w:eastAsia="zh-CN"/>
        </w:rPr>
        <w:t>（</w:t>
      </w:r>
      <w:r>
        <w:rPr>
          <w:rFonts w:hint="eastAsia" w:ascii="宋体" w:hAnsi="宋体" w:cs="宋体"/>
          <w:b w:val="0"/>
          <w:bCs/>
          <w:kern w:val="0"/>
          <w:sz w:val="24"/>
          <w:szCs w:val="24"/>
          <w:lang w:eastAsia="zh-CN"/>
        </w:rPr>
        <w:t>二</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拍卖标的一切现状及价格的认可，愿意承担法律责任，并且不得以任何理由提出退还标的物或拒付拍卖成交款及其他费用。</w:t>
      </w:r>
    </w:p>
    <w:p w14:paraId="41BFE73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360" w:firstLineChars="150"/>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（三）</w:t>
      </w:r>
      <w:r>
        <w:rPr>
          <w:rFonts w:hint="eastAsia" w:ascii="宋体" w:hAnsi="宋体" w:eastAsia="宋体" w:cs="宋体"/>
          <w:kern w:val="0"/>
          <w:sz w:val="24"/>
          <w:szCs w:val="24"/>
        </w:rPr>
        <w:t>拍卖时的起拍价和成交价均为裸价，不包含买受人在提取过程中产生的装卸、税费、生产管理成本、设备等一切费用，以及买受佣金。</w:t>
      </w:r>
      <w:r>
        <w:rPr>
          <w:rFonts w:hint="eastAsia" w:ascii="宋体" w:hAnsi="宋体" w:eastAsia="宋体" w:cs="宋体"/>
          <w:kern w:val="0"/>
          <w:sz w:val="24"/>
          <w:szCs w:val="24"/>
          <w:lang w:eastAsia="zh-CN"/>
        </w:rPr>
        <w:t>上述费用全部由买受人承担。</w:t>
      </w:r>
    </w:p>
    <w:p w14:paraId="59CA209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firstLine="360" w:firstLineChars="150"/>
        <w:jc w:val="left"/>
        <w:textAlignment w:val="auto"/>
        <w:rPr>
          <w:rFonts w:hint="eastAsia" w:ascii="宋体" w:hAnsi="宋体" w:eastAsia="宋体" w:cs="宋体"/>
          <w:color w:val="auto"/>
          <w:sz w:val="24"/>
          <w:highlight w:val="none"/>
          <w:lang w:eastAsia="zh-CN"/>
        </w:rPr>
      </w:pPr>
      <w:r>
        <w:rPr>
          <w:rFonts w:hint="eastAsia" w:ascii="宋体" w:hAnsi="宋体" w:cs="宋体"/>
          <w:kern w:val="0"/>
          <w:sz w:val="24"/>
          <w:szCs w:val="24"/>
          <w:lang w:eastAsia="zh-CN"/>
        </w:rPr>
        <w:t>（四）</w:t>
      </w:r>
      <w:r>
        <w:rPr>
          <w:rFonts w:hint="eastAsia" w:ascii="宋体" w:hAnsi="宋体" w:eastAsia="宋体" w:cs="宋体"/>
          <w:kern w:val="0"/>
          <w:sz w:val="24"/>
          <w:szCs w:val="24"/>
          <w:lang w:eastAsia="zh-CN"/>
        </w:rPr>
        <w:t>标的物的数量、重量、品质均为设计估算；数量、重量、品质按实际交付为准（交付时不再过磅），如实际交付有差距，则不进行拍卖成交款的退补，相应风险由买受人自行承担。</w:t>
      </w:r>
    </w:p>
    <w:p w14:paraId="483C3A88">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w:t>
      </w:r>
    </w:p>
    <w:p w14:paraId="5143B21C">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土石料买卖合同</w:t>
      </w:r>
      <w:r>
        <w:rPr>
          <w:rFonts w:hint="eastAsia" w:ascii="宋体" w:hAnsi="宋体"/>
          <w:b/>
          <w:color w:val="auto"/>
          <w:sz w:val="24"/>
          <w:highlight w:val="none"/>
        </w:rPr>
        <w:t>（样本）》条款方可参加拍卖：</w:t>
      </w:r>
    </w:p>
    <w:p w14:paraId="2D07DE34">
      <w:pPr>
        <w:keepNext w:val="0"/>
        <w:keepLines w:val="0"/>
        <w:pageBreakBefore w:val="0"/>
        <w:widowControl w:val="0"/>
        <w:numPr>
          <w:ilvl w:val="0"/>
          <w:numId w:val="1"/>
        </w:numPr>
        <w:kinsoku/>
        <w:wordWrap/>
        <w:overflowPunct/>
        <w:topLinePunct w:val="0"/>
        <w:autoSpaceDE/>
        <w:autoSpaceDN/>
        <w:bidi w:val="0"/>
        <w:adjustRightInd/>
        <w:spacing w:line="46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签订《</w:t>
      </w:r>
      <w:r>
        <w:rPr>
          <w:rFonts w:hint="eastAsia" w:ascii="宋体" w:hAnsi="宋体" w:cs="宋体"/>
          <w:color w:val="000000" w:themeColor="text1"/>
          <w:kern w:val="0"/>
          <w:sz w:val="24"/>
          <w:highlight w:val="none"/>
          <w:lang w:eastAsia="zh-CN"/>
          <w14:textFill>
            <w14:solidFill>
              <w14:schemeClr w14:val="tx1"/>
            </w14:solidFill>
          </w14:textFill>
        </w:rPr>
        <w:t>土石料买卖合同</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b/>
          <w:bCs/>
          <w:color w:val="000000" w:themeColor="text1"/>
          <w:kern w:val="0"/>
          <w:sz w:val="24"/>
          <w:highlight w:val="none"/>
          <w14:textFill>
            <w14:solidFill>
              <w14:schemeClr w14:val="tx1"/>
            </w14:solidFill>
          </w14:textFill>
        </w:rPr>
        <w:t>履约保证金：</w:t>
      </w:r>
      <w:r>
        <w:rPr>
          <w:rFonts w:hint="eastAsia" w:ascii="宋体" w:hAnsi="宋体" w:cs="宋体"/>
          <w:b/>
          <w:bCs/>
          <w:color w:val="000000" w:themeColor="text1"/>
          <w:kern w:val="0"/>
          <w:sz w:val="24"/>
          <w:highlight w:val="none"/>
          <w:lang w:eastAsia="zh-CN"/>
          <w14:textFill>
            <w14:solidFill>
              <w14:schemeClr w14:val="tx1"/>
            </w14:solidFill>
          </w14:textFill>
        </w:rPr>
        <w:t>人民币</w:t>
      </w:r>
      <w:r>
        <w:rPr>
          <w:rFonts w:hint="eastAsia" w:ascii="宋体" w:hAnsi="宋体" w:cs="宋体"/>
          <w:b/>
          <w:bCs/>
          <w:color w:val="000000" w:themeColor="text1"/>
          <w:kern w:val="0"/>
          <w:sz w:val="24"/>
          <w:highlight w:val="none"/>
          <w:lang w:val="en-US" w:eastAsia="zh-CN"/>
          <w14:textFill>
            <w14:solidFill>
              <w14:schemeClr w14:val="tx1"/>
            </w14:solidFill>
          </w14:textFill>
        </w:rPr>
        <w:t>5万元</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应向买受人开具收款凭证。履约保证金不足时，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须在接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通知后3个工作日内补足。待标的物交付完毕且确认双方无纠纷，由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一次性退还给</w:t>
      </w:r>
      <w:r>
        <w:rPr>
          <w:rFonts w:hint="eastAsia" w:ascii="宋体" w:hAnsi="宋体"/>
          <w:color w:val="000000" w:themeColor="text1"/>
          <w:sz w:val="24"/>
          <w:highlight w:val="none"/>
          <w:lang w:eastAsia="zh-CN"/>
          <w14:textFill>
            <w14:solidFill>
              <w14:schemeClr w14:val="tx1"/>
            </w14:solidFill>
          </w14:textFill>
        </w:rPr>
        <w:t>买受人履约保证金</w:t>
      </w:r>
      <w:r>
        <w:rPr>
          <w:rFonts w:hint="eastAsia" w:ascii="宋体" w:hAnsi="宋体"/>
          <w:color w:val="000000" w:themeColor="text1"/>
          <w:sz w:val="24"/>
          <w:highlight w:val="none"/>
          <w14:textFill>
            <w14:solidFill>
              <w14:schemeClr w14:val="tx1"/>
            </w14:solidFill>
          </w14:textFill>
        </w:rPr>
        <w:t>（按交款当日的银行同期活期存款利率计息）。</w:t>
      </w:r>
    </w:p>
    <w:p w14:paraId="07478BF3">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买受人在履约期间，须无条件自行承担各类费用及安全环保责任（包括但不限于装卸、运输、安全事故、各类纠纷、税费等）。买受人须设置冲洗设备和设置，保持环境清洁，不污染路面，如有环境污染问题，除移交环保部门和交通综合执法部门处理外，每次处以罚金3万元。</w:t>
      </w:r>
    </w:p>
    <w:p w14:paraId="26730375">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）买受人须自行办理清运相关手续、承担费用，并组织机械设备及装运车辆（不得超过20吨）清运；且在清运期间不得影响周边居民、企业的正常生活及生产，确保道路通畅。如遇道路通行、人身财产安全</w:t>
      </w:r>
      <w:r>
        <w:rPr>
          <w:rFonts w:hint="eastAsia" w:ascii="宋体" w:hAnsi="宋体" w:cs="宋体"/>
          <w:color w:val="000000" w:themeColor="text1"/>
          <w:kern w:val="0"/>
          <w:sz w:val="24"/>
          <w:highlight w:val="none"/>
          <w:lang w:eastAsia="zh-CN"/>
          <w14:textFill>
            <w14:solidFill>
              <w14:schemeClr w14:val="tx1"/>
            </w14:solidFill>
          </w14:textFill>
        </w:rPr>
        <w:t>和损坏等</w:t>
      </w:r>
      <w:r>
        <w:rPr>
          <w:rFonts w:hint="eastAsia" w:ascii="宋体" w:hAnsi="宋体" w:cs="宋体"/>
          <w:color w:val="000000" w:themeColor="text1"/>
          <w:kern w:val="0"/>
          <w:sz w:val="24"/>
          <w:highlight w:val="none"/>
          <w14:textFill>
            <w14:solidFill>
              <w14:schemeClr w14:val="tx1"/>
            </w14:solidFill>
          </w14:textFill>
        </w:rPr>
        <w:t>问题，均由买受人自行解决，与其他各方无涉。</w:t>
      </w:r>
    </w:p>
    <w:p w14:paraId="732309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kern w:val="0"/>
          <w:sz w:val="24"/>
          <w:szCs w:val="24"/>
          <w:highlight w:val="none"/>
          <w:lang w:eastAsia="zh-CN"/>
          <w14:textFill>
            <w14:solidFill>
              <w14:schemeClr w14:val="tx1"/>
            </w14:solidFill>
          </w14:textFill>
        </w:rPr>
        <w:t>（四）</w:t>
      </w:r>
      <w:r>
        <w:rPr>
          <w:rFonts w:hint="eastAsia" w:ascii="宋体" w:hAnsi="宋体"/>
          <w:color w:val="000000" w:themeColor="text1"/>
          <w:sz w:val="24"/>
          <w:highlight w:val="none"/>
          <w:lang w:eastAsia="zh-CN"/>
          <w14:textFill>
            <w14:solidFill>
              <w14:schemeClr w14:val="tx1"/>
            </w14:solidFill>
          </w14:textFill>
        </w:rPr>
        <w:t>买受人须在拍卖成交后30天内（因施工进度原因除外）完成土石料的清运。逾期视为自动放弃，委托人有权按废弃物予以处理，相关处置费用由买受人承担，且履约保证金不予退还。</w:t>
      </w:r>
    </w:p>
    <w:p w14:paraId="2CA6040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买受人须根据施工进度取料，每次须在接到施工单位开挖通知后5天内完成土石料的清运，逾期视为自动放弃，委托人有权按废弃物予以处理，相关处置费用由买受人承担（从履约保证金中扣除）。上述情况超过3次，委托人有权提前终止合同，且履约保证金不予退还。</w:t>
      </w:r>
    </w:p>
    <w:p w14:paraId="06E390FF">
      <w:pPr>
        <w:pStyle w:val="3"/>
        <w:keepNext/>
        <w:keepLines/>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如遇特殊情况无法及时清运，买受人必须提前征得委托人的书面同意。</w:t>
      </w:r>
    </w:p>
    <w:p w14:paraId="0F119E0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lang w:eastAsia="zh-CN"/>
          <w14:textFill>
            <w14:solidFill>
              <w14:schemeClr w14:val="tx1"/>
            </w14:solidFill>
          </w14:textFill>
        </w:rPr>
        <w:t>）买受人的车辆和机械应在指定位置装卸</w:t>
      </w:r>
      <w:r>
        <w:rPr>
          <w:rFonts w:hint="eastAsia" w:ascii="宋体" w:hAnsi="宋体" w:cs="宋体"/>
          <w:color w:val="000000" w:themeColor="text1"/>
          <w:sz w:val="24"/>
          <w:highlight w:val="none"/>
          <w:lang w:eastAsia="zh-CN"/>
          <w14:textFill>
            <w14:solidFill>
              <w14:schemeClr w14:val="tx1"/>
            </w14:solidFill>
          </w14:textFill>
        </w:rPr>
        <w:t>土石料</w:t>
      </w:r>
      <w:r>
        <w:rPr>
          <w:rFonts w:hint="eastAsia" w:ascii="宋体" w:hAnsi="宋体" w:eastAsia="宋体" w:cs="宋体"/>
          <w:color w:val="000000" w:themeColor="text1"/>
          <w:sz w:val="24"/>
          <w:highlight w:val="none"/>
          <w:lang w:eastAsia="zh-CN"/>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35A49F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）土石料外运过程中进</w:t>
      </w:r>
      <w:r>
        <w:rPr>
          <w:rFonts w:hint="eastAsia" w:ascii="宋体" w:hAnsi="宋体" w:cs="宋体"/>
          <w:color w:val="000000" w:themeColor="text1"/>
          <w:sz w:val="24"/>
          <w:highlight w:val="none"/>
          <w:lang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车辆必须按土石料道路清运规定执行，相关工作由街道城管负责监督管理。</w:t>
      </w:r>
    </w:p>
    <w:p w14:paraId="51BCA4B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）其他内容详见《</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（样本）》。</w:t>
      </w:r>
    </w:p>
    <w:p w14:paraId="5993C1AD">
      <w:pPr>
        <w:keepNext w:val="0"/>
        <w:keepLines w:val="0"/>
        <w:pageBreakBefore w:val="0"/>
        <w:widowControl w:val="0"/>
        <w:kinsoku/>
        <w:wordWrap/>
        <w:overflowPunct/>
        <w:topLinePunct w:val="0"/>
        <w:autoSpaceDE/>
        <w:autoSpaceDN/>
        <w:bidi w:val="0"/>
        <w:adjustRightInd/>
        <w:snapToGrid/>
        <w:spacing w:before="157" w:beforeLines="50" w:after="156" w:afterLines="50" w:line="46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32DB2F1E">
      <w:pPr>
        <w:keepNext w:val="0"/>
        <w:keepLines w:val="0"/>
        <w:pageBreakBefore w:val="0"/>
        <w:widowControl w:val="0"/>
        <w:tabs>
          <w:tab w:val="left" w:pos="1995"/>
        </w:tabs>
        <w:kinsoku/>
        <w:wordWrap/>
        <w:overflowPunct/>
        <w:topLinePunct w:val="0"/>
        <w:autoSpaceDE/>
        <w:autoSpaceDN/>
        <w:bidi w:val="0"/>
        <w:adjustRightInd/>
        <w:spacing w:line="46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1324525">
      <w:pPr>
        <w:keepNext w:val="0"/>
        <w:keepLines w:val="0"/>
        <w:pageBreakBefore w:val="0"/>
        <w:widowControl w:val="0"/>
        <w:tabs>
          <w:tab w:val="left" w:pos="1995"/>
        </w:tabs>
        <w:kinsoku/>
        <w:wordWrap/>
        <w:overflowPunct/>
        <w:topLinePunct w:val="0"/>
        <w:autoSpaceDE/>
        <w:autoSpaceDN/>
        <w:bidi w:val="0"/>
        <w:adjustRightInd/>
        <w:spacing w:line="46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563C4837">
      <w:pPr>
        <w:keepNext w:val="0"/>
        <w:keepLines w:val="0"/>
        <w:pageBreakBefore w:val="0"/>
        <w:widowControl w:val="0"/>
        <w:tabs>
          <w:tab w:val="left" w:pos="1995"/>
        </w:tabs>
        <w:kinsoku/>
        <w:wordWrap/>
        <w:overflowPunct/>
        <w:topLinePunct w:val="0"/>
        <w:autoSpaceDE/>
        <w:autoSpaceDN/>
        <w:bidi w:val="0"/>
        <w:adjustRightInd/>
        <w:spacing w:line="46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w:t>
      </w:r>
      <w:r>
        <w:rPr>
          <w:rFonts w:hint="eastAsia" w:ascii="宋体" w:hAnsi="宋体"/>
          <w:color w:val="auto"/>
          <w:sz w:val="24"/>
          <w:lang w:eastAsia="zh-CN"/>
        </w:rPr>
        <w:t>交款当日</w:t>
      </w:r>
      <w:r>
        <w:rPr>
          <w:rFonts w:hint="eastAsia" w:ascii="宋体" w:hAnsi="宋体"/>
          <w:color w:val="auto"/>
          <w:sz w:val="24"/>
        </w:rPr>
        <w:t>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57E059EA">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w:t>
      </w:r>
      <w:r>
        <w:rPr>
          <w:rFonts w:hint="eastAsia" w:ascii="宋体" w:hAnsi="宋体"/>
          <w:color w:val="auto"/>
          <w:sz w:val="24"/>
          <w:lang w:eastAsia="zh-CN"/>
        </w:rPr>
        <w:t>交款当日</w:t>
      </w:r>
      <w:r>
        <w:rPr>
          <w:rFonts w:hint="eastAsia" w:ascii="宋体" w:hAnsi="宋体"/>
          <w:color w:val="auto"/>
          <w:sz w:val="24"/>
        </w:rPr>
        <w:t>银行同期活期存款利率计息）。</w:t>
      </w:r>
    </w:p>
    <w:p w14:paraId="3540B8CC">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3E50D3E8">
      <w:pPr>
        <w:keepNext w:val="0"/>
        <w:keepLines w:val="0"/>
        <w:pageBreakBefore w:val="0"/>
        <w:widowControl w:val="0"/>
        <w:kinsoku/>
        <w:wordWrap/>
        <w:overflowPunct/>
        <w:topLinePunct w:val="0"/>
        <w:autoSpaceDE/>
        <w:autoSpaceDN/>
        <w:bidi w:val="0"/>
        <w:adjustRightInd/>
        <w:snapToGrid/>
        <w:spacing w:before="124" w:beforeLines="40" w:after="124" w:afterLines="40" w:line="44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7A39DED7">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w:t>
      </w:r>
      <w:r>
        <w:rPr>
          <w:rFonts w:hint="eastAsia" w:ascii="宋体" w:hAnsi="宋体" w:eastAsia="宋体" w:cs="Times New Roman"/>
          <w:color w:val="auto"/>
          <w:sz w:val="24"/>
          <w:highlight w:val="none"/>
          <w:u w:val="none"/>
          <w:lang w:eastAsia="zh-CN"/>
        </w:rPr>
        <w:t>标的经过规定的报刊、网络发布公告，并经实地展示</w:t>
      </w:r>
      <w:r>
        <w:rPr>
          <w:rFonts w:hint="default" w:ascii="宋体" w:hAnsi="宋体"/>
          <w:sz w:val="24"/>
          <w:highlight w:val="none"/>
        </w:rPr>
        <w:t>，由拍卖人主持，并在相关当事人和监管部门监督下进行。</w:t>
      </w:r>
      <w:r>
        <w:rPr>
          <w:rFonts w:hint="default" w:ascii="宋体" w:hAnsi="宋体"/>
          <w:b/>
          <w:bCs/>
          <w:sz w:val="24"/>
          <w:highlight w:val="none"/>
        </w:rPr>
        <w:t>竞买人凭身份证明及竞买保证金收据登记入场，每一个号牌限进</w:t>
      </w:r>
      <w:r>
        <w:rPr>
          <w:rFonts w:hint="eastAsia" w:ascii="宋体" w:hAnsi="宋体"/>
          <w:b/>
          <w:bCs/>
          <w:sz w:val="24"/>
          <w:highlight w:val="none"/>
          <w:lang w:val="en-US" w:eastAsia="zh-CN"/>
        </w:rPr>
        <w:t>2</w:t>
      </w:r>
      <w:r>
        <w:rPr>
          <w:rFonts w:hint="default" w:ascii="宋体" w:hAnsi="宋体"/>
          <w:b/>
          <w:bCs/>
          <w:sz w:val="24"/>
          <w:highlight w:val="none"/>
        </w:rPr>
        <w:t>人。</w:t>
      </w:r>
      <w:r>
        <w:rPr>
          <w:rFonts w:hint="default" w:ascii="宋体" w:hAnsi="宋体"/>
          <w:sz w:val="24"/>
          <w:highlight w:val="none"/>
        </w:rPr>
        <w:t>在拍卖会现场，任何举牌应价的行为均视为竞买</w:t>
      </w:r>
      <w:r>
        <w:rPr>
          <w:rFonts w:hint="default" w:ascii="宋体" w:hAnsi="宋体"/>
          <w:sz w:val="24"/>
        </w:rPr>
        <w:t>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5BCF276B">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65DE20F4">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2F1155E4">
      <w:pPr>
        <w:keepNext w:val="0"/>
        <w:keepLines w:val="0"/>
        <w:pageBreakBefore w:val="0"/>
        <w:widowControl w:val="0"/>
        <w:tabs>
          <w:tab w:val="left" w:pos="1995"/>
        </w:tabs>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”的方式，价高者得的原则，在规定报名时间内须有效报名2名及以上且必须到场拍卖，且至少1名有效出价，方可成交。</w:t>
      </w:r>
    </w:p>
    <w:p w14:paraId="6D23FBC9">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420D02C4">
      <w:pPr>
        <w:keepNext w:val="0"/>
        <w:keepLines w:val="0"/>
        <w:pageBreakBefore w:val="0"/>
        <w:widowControl w:val="0"/>
        <w:tabs>
          <w:tab w:val="left" w:pos="1995"/>
        </w:tabs>
        <w:kinsoku/>
        <w:wordWrap/>
        <w:overflowPunct/>
        <w:topLinePunct w:val="0"/>
        <w:autoSpaceDE/>
        <w:autoSpaceDN/>
        <w:bidi w:val="0"/>
        <w:adjustRightInd/>
        <w:snapToGrid/>
        <w:spacing w:line="44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6354FA7D">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1CD53981">
      <w:pPr>
        <w:keepNext w:val="0"/>
        <w:keepLines w:val="0"/>
        <w:pageBreakBefore w:val="0"/>
        <w:widowControl w:val="0"/>
        <w:tabs>
          <w:tab w:val="left" w:pos="1995"/>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7BBDCD40">
      <w:pPr>
        <w:keepNext w:val="0"/>
        <w:keepLines w:val="0"/>
        <w:pageBreakBefore w:val="0"/>
        <w:widowControl w:val="0"/>
        <w:tabs>
          <w:tab w:val="left" w:pos="1995"/>
        </w:tabs>
        <w:kinsoku/>
        <w:wordWrap/>
        <w:overflowPunct/>
        <w:topLinePunct w:val="0"/>
        <w:autoSpaceDE/>
        <w:autoSpaceDN/>
        <w:bidi w:val="0"/>
        <w:adjustRightInd/>
        <w:snapToGrid/>
        <w:spacing w:line="46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0787A71A">
      <w:pPr>
        <w:keepNext w:val="0"/>
        <w:keepLines w:val="0"/>
        <w:pageBreakBefore w:val="0"/>
        <w:widowControl w:val="0"/>
        <w:numPr>
          <w:ilvl w:val="0"/>
          <w:numId w:val="0"/>
        </w:numPr>
        <w:tabs>
          <w:tab w:val="left" w:pos="1995"/>
        </w:tabs>
        <w:kinsoku/>
        <w:wordWrap/>
        <w:overflowPunct/>
        <w:topLinePunct w:val="0"/>
        <w:autoSpaceDE/>
        <w:autoSpaceDN/>
        <w:bidi w:val="0"/>
        <w:adjustRightInd/>
        <w:spacing w:line="46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714AB0DC">
      <w:pPr>
        <w:keepNext w:val="0"/>
        <w:keepLines w:val="0"/>
        <w:pageBreakBefore w:val="0"/>
        <w:widowControl w:val="0"/>
        <w:kinsoku/>
        <w:wordWrap/>
        <w:overflowPunct/>
        <w:topLinePunct w:val="0"/>
        <w:autoSpaceDE/>
        <w:autoSpaceDN/>
        <w:bidi w:val="0"/>
        <w:adjustRightInd/>
        <w:snapToGrid/>
        <w:spacing w:before="157" w:beforeLines="50" w:after="156" w:afterLines="50" w:line="46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4D2D1CF1">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6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0CA41928">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6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银行同期活期存款利率计息）；买受人的竞买保证金（按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银行同期活期存款利率计息）凭《</w:t>
      </w:r>
      <w:r>
        <w:rPr>
          <w:rFonts w:hint="eastAsia" w:ascii="宋体" w:hAnsi="宋体" w:eastAsia="宋体" w:cs="Times New Roman"/>
          <w:color w:val="auto"/>
          <w:sz w:val="24"/>
          <w:u w:val="none"/>
          <w:lang w:val="en-US" w:eastAsia="zh-CN"/>
        </w:rPr>
        <w:t>土石料买卖合同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185B4803">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53481F35">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hint="eastAsia" w:ascii="宋体" w:hAnsi="宋体"/>
          <w:sz w:val="24"/>
          <w:highlight w:val="none"/>
          <w:lang w:eastAsia="zh-CN"/>
        </w:rPr>
      </w:pPr>
      <w:r>
        <w:rPr>
          <w:rFonts w:hint="eastAsia" w:ascii="宋体" w:hAnsi="宋体" w:eastAsia="宋体" w:cs="宋体"/>
          <w:b/>
          <w:color w:val="auto"/>
          <w:kern w:val="0"/>
          <w:sz w:val="24"/>
          <w:highlight w:val="none"/>
          <w:lang w:eastAsia="zh-CN"/>
        </w:rPr>
        <w:t>第十四条</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付款</w:t>
      </w:r>
      <w:r>
        <w:rPr>
          <w:rFonts w:hint="eastAsia" w:ascii="宋体" w:hAnsi="宋体" w:cs="宋体"/>
          <w:b/>
          <w:color w:val="auto"/>
          <w:kern w:val="0"/>
          <w:sz w:val="24"/>
          <w:highlight w:val="none"/>
        </w:rPr>
        <w:t>办法及签约时间</w:t>
      </w:r>
      <w:r>
        <w:rPr>
          <w:rFonts w:hint="eastAsia" w:ascii="宋体" w:hAnsi="宋体" w:cs="宋体"/>
          <w:b/>
          <w:color w:val="auto"/>
          <w:kern w:val="0"/>
          <w:sz w:val="24"/>
          <w:highlight w:val="none"/>
          <w:lang w:eastAsia="zh-CN"/>
        </w:rPr>
        <w:t>：</w:t>
      </w:r>
      <w:r>
        <w:rPr>
          <w:rFonts w:hint="eastAsia" w:ascii="宋体" w:hAnsi="宋体" w:cs="宋体"/>
          <w:b w:val="0"/>
          <w:bCs/>
          <w:color w:val="000000"/>
          <w:kern w:val="0"/>
          <w:sz w:val="24"/>
          <w:highlight w:val="none"/>
        </w:rPr>
        <w:t>买受人</w:t>
      </w:r>
      <w:r>
        <w:rPr>
          <w:rFonts w:hint="eastAsia" w:ascii="宋体" w:hAnsi="宋体" w:cs="宋体"/>
          <w:color w:val="000000"/>
          <w:kern w:val="0"/>
          <w:sz w:val="24"/>
          <w:highlight w:val="none"/>
        </w:rPr>
        <w:t>须在</w:t>
      </w:r>
      <w:r>
        <w:rPr>
          <w:rFonts w:hint="eastAsia" w:ascii="宋体" w:hAnsi="宋体" w:cs="宋体"/>
          <w:color w:val="000000"/>
          <w:kern w:val="0"/>
          <w:sz w:val="24"/>
          <w:highlight w:val="none"/>
          <w:lang w:val="en-US" w:eastAsia="zh-CN"/>
        </w:rPr>
        <w:t>2024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10</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ascii="宋体" w:hAnsi="宋体" w:cs="宋体"/>
          <w:color w:val="000000"/>
          <w:kern w:val="0"/>
          <w:sz w:val="24"/>
          <w:highlight w:val="none"/>
        </w:rPr>
        <w:t>日下午4时</w:t>
      </w:r>
      <w:r>
        <w:rPr>
          <w:rFonts w:hint="eastAsia" w:ascii="宋体" w:hAnsi="宋体" w:cs="宋体"/>
          <w:color w:val="000000"/>
          <w:kern w:val="0"/>
          <w:sz w:val="24"/>
          <w:highlight w:val="none"/>
          <w:lang w:eastAsia="zh-CN"/>
        </w:rPr>
        <w:t>前</w:t>
      </w:r>
      <w:r>
        <w:rPr>
          <w:rFonts w:ascii="宋体" w:hAnsi="宋体" w:cs="宋体"/>
          <w:b/>
          <w:bCs/>
          <w:color w:val="000000"/>
          <w:kern w:val="0"/>
          <w:sz w:val="24"/>
          <w:highlight w:val="none"/>
        </w:rPr>
        <w:t>（以实际到账为准）</w:t>
      </w:r>
      <w:r>
        <w:rPr>
          <w:rFonts w:ascii="宋体" w:hAnsi="宋体" w:cs="宋体"/>
          <w:color w:val="000000"/>
          <w:kern w:val="0"/>
          <w:sz w:val="24"/>
          <w:highlight w:val="none"/>
        </w:rPr>
        <w:t>向</w:t>
      </w:r>
      <w:r>
        <w:rPr>
          <w:rFonts w:hint="eastAsia" w:ascii="宋体" w:hAnsi="宋体" w:cs="宋体"/>
          <w:color w:val="000000"/>
          <w:kern w:val="0"/>
          <w:sz w:val="24"/>
          <w:highlight w:val="none"/>
          <w:lang w:eastAsia="zh-CN"/>
        </w:rPr>
        <w:t>委托人</w:t>
      </w:r>
      <w:r>
        <w:rPr>
          <w:rFonts w:ascii="宋体" w:hAnsi="宋体" w:cs="宋体"/>
          <w:kern w:val="0"/>
          <w:sz w:val="24"/>
          <w:highlight w:val="none"/>
        </w:rPr>
        <w:t>一次性付清</w:t>
      </w:r>
      <w:r>
        <w:rPr>
          <w:rFonts w:hint="eastAsia" w:ascii="宋体" w:hAnsi="宋体" w:cs="宋体"/>
          <w:kern w:val="0"/>
          <w:sz w:val="24"/>
          <w:highlight w:val="none"/>
          <w:lang w:eastAsia="zh-CN"/>
        </w:rPr>
        <w:t>拍卖成交款</w:t>
      </w:r>
      <w:r>
        <w:rPr>
          <w:rFonts w:hint="eastAsia" w:ascii="宋体" w:hAnsi="宋体"/>
          <w:sz w:val="24"/>
          <w:highlight w:val="none"/>
          <w:lang w:eastAsia="zh-CN"/>
        </w:rPr>
        <w:t>和</w:t>
      </w:r>
      <w:r>
        <w:rPr>
          <w:rFonts w:ascii="宋体" w:hAnsi="宋体"/>
          <w:sz w:val="24"/>
          <w:highlight w:val="none"/>
        </w:rPr>
        <w:t>履约保证金</w:t>
      </w:r>
      <w:r>
        <w:rPr>
          <w:rFonts w:hint="eastAsia" w:ascii="宋体" w:hAnsi="宋体"/>
          <w:sz w:val="24"/>
          <w:highlight w:val="none"/>
          <w:lang w:eastAsia="zh-CN"/>
        </w:rPr>
        <w:t>，</w:t>
      </w:r>
      <w:r>
        <w:rPr>
          <w:rFonts w:hint="eastAsia" w:ascii="宋体" w:hAnsi="宋体" w:cs="宋体"/>
          <w:color w:val="000000"/>
          <w:kern w:val="0"/>
          <w:sz w:val="24"/>
          <w:highlight w:val="none"/>
          <w:lang w:eastAsia="zh-CN"/>
        </w:rPr>
        <w:t>同时向拍卖人支付</w:t>
      </w:r>
      <w:r>
        <w:rPr>
          <w:rFonts w:hint="eastAsia" w:ascii="宋体" w:hAnsi="宋体"/>
          <w:sz w:val="24"/>
          <w:highlight w:val="none"/>
          <w:lang w:eastAsia="zh-CN"/>
        </w:rPr>
        <w:t>拍卖</w:t>
      </w:r>
      <w:r>
        <w:rPr>
          <w:rFonts w:hint="eastAsia" w:ascii="宋体" w:hAnsi="宋体"/>
          <w:sz w:val="24"/>
          <w:highlight w:val="none"/>
        </w:rPr>
        <w:t>成交价</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的买受佣金</w:t>
      </w:r>
      <w:r>
        <w:rPr>
          <w:rFonts w:hint="eastAsia" w:ascii="宋体" w:hAnsi="宋体" w:cs="宋体"/>
          <w:color w:val="000000"/>
          <w:kern w:val="0"/>
          <w:sz w:val="24"/>
          <w:highlight w:val="none"/>
        </w:rPr>
        <w:t>，</w:t>
      </w:r>
      <w:r>
        <w:rPr>
          <w:rFonts w:hint="eastAsia" w:ascii="宋体" w:hAnsi="宋体"/>
          <w:sz w:val="24"/>
          <w:highlight w:val="none"/>
          <w:lang w:eastAsia="zh-CN"/>
        </w:rPr>
        <w:t>然后于</w:t>
      </w:r>
      <w:r>
        <w:rPr>
          <w:rFonts w:hint="eastAsia" w:ascii="宋体" w:hAnsi="宋体"/>
          <w:sz w:val="24"/>
          <w:highlight w:val="none"/>
          <w:lang w:val="en-US" w:eastAsia="zh-CN"/>
        </w:rPr>
        <w:t>2024</w:t>
      </w:r>
      <w:r>
        <w:rPr>
          <w:rFonts w:ascii="宋体" w:hAnsi="宋体" w:cs="宋体"/>
          <w:kern w:val="0"/>
          <w:sz w:val="24"/>
          <w:highlight w:val="none"/>
        </w:rPr>
        <w:t>年</w:t>
      </w:r>
      <w:r>
        <w:rPr>
          <w:rFonts w:hint="eastAsia" w:ascii="宋体" w:hAnsi="宋体" w:cs="宋体"/>
          <w:kern w:val="0"/>
          <w:sz w:val="24"/>
          <w:highlight w:val="none"/>
          <w:lang w:val="en-US" w:eastAsia="zh-CN"/>
        </w:rPr>
        <w:t>10</w:t>
      </w:r>
      <w:r>
        <w:rPr>
          <w:rFonts w:ascii="宋体" w:hAnsi="宋体" w:cs="宋体"/>
          <w:kern w:val="0"/>
          <w:sz w:val="24"/>
          <w:highlight w:val="none"/>
        </w:rPr>
        <w:t>月</w:t>
      </w:r>
      <w:r>
        <w:rPr>
          <w:rFonts w:hint="eastAsia" w:ascii="宋体" w:hAnsi="宋体" w:cs="宋体"/>
          <w:kern w:val="0"/>
          <w:sz w:val="24"/>
          <w:highlight w:val="none"/>
          <w:lang w:val="en-US" w:eastAsia="zh-CN"/>
        </w:rPr>
        <w:t>22</w:t>
      </w:r>
      <w:r>
        <w:rPr>
          <w:rFonts w:ascii="宋体" w:hAnsi="宋体" w:cs="宋体"/>
          <w:kern w:val="0"/>
          <w:sz w:val="24"/>
          <w:highlight w:val="none"/>
        </w:rPr>
        <w:t>日</w:t>
      </w:r>
      <w:r>
        <w:rPr>
          <w:rFonts w:hint="eastAsia" w:ascii="宋体" w:hAnsi="宋体" w:cs="宋体"/>
          <w:kern w:val="0"/>
          <w:sz w:val="24"/>
          <w:highlight w:val="none"/>
          <w:lang w:val="en-US" w:eastAsia="zh-CN"/>
        </w:rPr>
        <w:t>-23日</w:t>
      </w:r>
      <w:r>
        <w:rPr>
          <w:rFonts w:hint="eastAsia" w:ascii="宋体" w:hAnsi="宋体" w:cs="宋体"/>
          <w:sz w:val="24"/>
          <w:highlight w:val="none"/>
        </w:rPr>
        <w:t>（上午9:00—11:00，下午2:</w:t>
      </w:r>
      <w:r>
        <w:rPr>
          <w:rFonts w:hint="eastAsia" w:ascii="宋体" w:hAnsi="宋体" w:cs="宋体"/>
          <w:sz w:val="24"/>
          <w:highlight w:val="none"/>
          <w:lang w:val="en-US" w:eastAsia="zh-CN"/>
        </w:rPr>
        <w:t>0</w:t>
      </w:r>
      <w:r>
        <w:rPr>
          <w:rFonts w:hint="eastAsia" w:ascii="宋体" w:hAnsi="宋体" w:cs="宋体"/>
          <w:sz w:val="24"/>
          <w:highlight w:val="none"/>
        </w:rPr>
        <w:t>0-4:</w:t>
      </w:r>
      <w:r>
        <w:rPr>
          <w:rFonts w:hint="eastAsia" w:ascii="宋体" w:hAnsi="宋体" w:cs="宋体"/>
          <w:sz w:val="24"/>
          <w:highlight w:val="none"/>
          <w:lang w:val="en-US" w:eastAsia="zh-CN"/>
        </w:rPr>
        <w:t>0</w:t>
      </w:r>
      <w:r>
        <w:rPr>
          <w:rFonts w:hint="eastAsia" w:ascii="宋体" w:hAnsi="宋体" w:cs="宋体"/>
          <w:sz w:val="24"/>
          <w:highlight w:val="none"/>
        </w:rPr>
        <w:t>0）</w:t>
      </w:r>
      <w:r>
        <w:rPr>
          <w:rFonts w:hint="eastAsia" w:ascii="宋体" w:hAnsi="宋体" w:cs="宋体"/>
          <w:kern w:val="0"/>
          <w:sz w:val="24"/>
          <w:highlight w:val="none"/>
          <w:lang w:val="en-US" w:eastAsia="zh-CN"/>
        </w:rPr>
        <w:t>与</w:t>
      </w:r>
      <w:r>
        <w:rPr>
          <w:rFonts w:hint="eastAsia" w:ascii="宋体" w:hAnsi="宋体" w:cs="宋体"/>
          <w:color w:val="000000"/>
          <w:kern w:val="0"/>
          <w:sz w:val="24"/>
          <w:highlight w:val="none"/>
          <w:lang w:eastAsia="zh-CN"/>
        </w:rPr>
        <w:t>委托人</w:t>
      </w:r>
      <w:r>
        <w:rPr>
          <w:rFonts w:ascii="宋体" w:hAnsi="宋体"/>
          <w:sz w:val="24"/>
          <w:highlight w:val="none"/>
        </w:rPr>
        <w:t>签订《</w:t>
      </w:r>
      <w:r>
        <w:rPr>
          <w:rFonts w:hint="eastAsia" w:ascii="宋体" w:hAnsi="宋体"/>
          <w:sz w:val="24"/>
          <w:highlight w:val="none"/>
          <w:lang w:eastAsia="zh-CN"/>
        </w:rPr>
        <w:t>土石料买卖合同</w:t>
      </w:r>
      <w:r>
        <w:rPr>
          <w:rFonts w:ascii="宋体" w:hAnsi="宋体"/>
          <w:sz w:val="24"/>
          <w:highlight w:val="none"/>
        </w:rPr>
        <w:t>》</w:t>
      </w:r>
      <w:r>
        <w:rPr>
          <w:rFonts w:hint="eastAsia" w:ascii="宋体" w:hAnsi="宋体"/>
          <w:sz w:val="24"/>
          <w:highlight w:val="none"/>
          <w:lang w:eastAsia="zh-CN"/>
        </w:rPr>
        <w:t>。</w:t>
      </w:r>
    </w:p>
    <w:p w14:paraId="65BE8E33">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b/>
          <w:bCs/>
          <w:sz w:val="24"/>
          <w:highlight w:val="none"/>
          <w:lang w:eastAsia="zh-CN"/>
        </w:rPr>
        <w:t>拍卖成交款</w:t>
      </w:r>
      <w:r>
        <w:rPr>
          <w:rFonts w:ascii="宋体" w:hAnsi="宋体"/>
          <w:b/>
          <w:bCs/>
          <w:sz w:val="24"/>
          <w:highlight w:val="none"/>
        </w:rPr>
        <w:t>和履约保证金</w:t>
      </w:r>
      <w:r>
        <w:rPr>
          <w:rFonts w:hint="eastAsia" w:ascii="宋体" w:hAnsi="宋体" w:eastAsia="宋体" w:cs="Times New Roman"/>
          <w:b/>
          <w:bCs/>
          <w:color w:val="auto"/>
          <w:sz w:val="24"/>
          <w:highlight w:val="none"/>
          <w:lang w:val="en-US" w:eastAsia="zh-CN"/>
        </w:rPr>
        <w:t>请汇入委托人账户</w:t>
      </w:r>
      <w:r>
        <w:rPr>
          <w:rFonts w:hint="eastAsia" w:ascii="宋体" w:hAnsi="宋体" w:eastAsia="宋体" w:cs="Times New Roman"/>
          <w:color w:val="000000" w:themeColor="text1"/>
          <w:sz w:val="24"/>
          <w:highlight w:val="none"/>
          <w:lang w:val="en-US" w:eastAsia="zh-CN"/>
          <w14:textFill>
            <w14:solidFill>
              <w14:schemeClr w14:val="tx1"/>
            </w14:solidFill>
          </w14:textFill>
        </w:rPr>
        <w:t>（户名：宁波舜通集团有限公司；开户银行：建设银行余姚支行；账号：33101995236050178609）</w:t>
      </w:r>
      <w:r>
        <w:rPr>
          <w:rFonts w:hint="eastAsia" w:ascii="宋体" w:hAnsi="宋体" w:eastAsia="宋体" w:cs="宋体"/>
          <w:color w:val="000000" w:themeColor="text1"/>
          <w:sz w:val="24"/>
          <w:highlight w:val="none"/>
          <w14:textFill>
            <w14:solidFill>
              <w14:schemeClr w14:val="tx1"/>
            </w14:solidFill>
          </w14:textFill>
        </w:rPr>
        <w:t>。</w:t>
      </w:r>
    </w:p>
    <w:p w14:paraId="23BF4D55">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买受佣金请汇入拍卖人账户</w:t>
      </w:r>
      <w:r>
        <w:rPr>
          <w:rFonts w:hint="eastAsia"/>
          <w:color w:val="000000" w:themeColor="text1"/>
          <w:sz w:val="24"/>
          <w14:textFill>
            <w14:solidFill>
              <w14:schemeClr w14:val="tx1"/>
            </w14:solidFill>
          </w14:textFill>
        </w:rPr>
        <w:t>（户名：宁波阳明拍卖有限公司，开户行：中信银行余姚支行，账号：</w:t>
      </w:r>
      <w:r>
        <w:rPr>
          <w:rFonts w:hint="eastAsia" w:ascii="宋体" w:hAnsi="宋体" w:eastAsia="宋体" w:cs="Times New Roman"/>
          <w:color w:val="000000" w:themeColor="text1"/>
          <w:sz w:val="24"/>
          <w:highlight w:val="none"/>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64BF3A2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拍卖</w:t>
      </w:r>
      <w:r>
        <w:rPr>
          <w:rFonts w:ascii="宋体" w:hAnsi="宋体" w:cs="宋体"/>
          <w:color w:val="000000" w:themeColor="text1"/>
          <w:kern w:val="0"/>
          <w:sz w:val="24"/>
          <w:highlight w:val="none"/>
          <w14:textFill>
            <w14:solidFill>
              <w14:schemeClr w14:val="tx1"/>
            </w14:solidFill>
          </w14:textFill>
        </w:rPr>
        <w:t>人出具买受佣金发票，</w:t>
      </w:r>
      <w:r>
        <w:rPr>
          <w:rFonts w:hint="eastAsia" w:ascii="宋体" w:hAnsi="宋体" w:cs="宋体"/>
          <w:color w:val="000000" w:themeColor="text1"/>
          <w:kern w:val="0"/>
          <w:sz w:val="24"/>
          <w:highlight w:val="none"/>
          <w:lang w:eastAsia="zh-CN"/>
          <w14:textFill>
            <w14:solidFill>
              <w14:schemeClr w14:val="tx1"/>
            </w14:solidFill>
          </w14:textFill>
        </w:rPr>
        <w:t>委托人仅出具往来款收据</w:t>
      </w:r>
      <w:r>
        <w:rPr>
          <w:rFonts w:ascii="宋体" w:hAnsi="宋体" w:cs="宋体"/>
          <w:color w:val="000000" w:themeColor="text1"/>
          <w:kern w:val="0"/>
          <w:sz w:val="24"/>
          <w:highlight w:val="none"/>
          <w14:textFill>
            <w14:solidFill>
              <w14:schemeClr w14:val="tx1"/>
            </w14:solidFill>
          </w14:textFill>
        </w:rPr>
        <w:t>。</w:t>
      </w:r>
    </w:p>
    <w:p w14:paraId="71555107">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b/>
          <w:sz w:val="24"/>
        </w:rPr>
      </w:pPr>
      <w:r>
        <w:rPr>
          <w:rFonts w:hint="eastAsia" w:ascii="宋体" w:hAnsi="宋体"/>
          <w:b/>
          <w:color w:val="auto"/>
          <w:sz w:val="24"/>
          <w:lang w:eastAsia="zh-CN"/>
        </w:rPr>
        <w:t>第十五条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因买受人存在未按约定签订《拍卖成交确认书》等拍卖文件或《</w:t>
      </w:r>
      <w:r>
        <w:rPr>
          <w:rFonts w:hint="eastAsia" w:ascii="宋体" w:hAnsi="宋体"/>
          <w:b/>
          <w:sz w:val="24"/>
          <w:lang w:eastAsia="zh-CN"/>
        </w:rPr>
        <w:t>土石料买卖合同</w:t>
      </w:r>
      <w:r>
        <w:rPr>
          <w:rFonts w:hint="eastAsia" w:ascii="宋体" w:hAnsi="宋体"/>
          <w:b/>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3B0D01E9">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28E3C96D">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7DEA7B3C">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hint="eastAsia" w:ascii="宋体" w:hAnsi="宋体"/>
          <w:sz w:val="24"/>
          <w:lang w:val="en-US" w:eastAsia="zh-CN"/>
        </w:rPr>
      </w:pPr>
      <w:r>
        <w:rPr>
          <w:rFonts w:hint="eastAsia" w:ascii="宋体" w:hAnsi="宋体"/>
          <w:b/>
          <w:color w:val="auto"/>
          <w:sz w:val="24"/>
        </w:rPr>
        <w:t>第十</w:t>
      </w:r>
      <w:r>
        <w:rPr>
          <w:rFonts w:hint="eastAsia" w:ascii="宋体" w:hAnsi="宋体"/>
          <w:b/>
          <w:color w:val="auto"/>
          <w:sz w:val="24"/>
          <w:lang w:eastAsia="zh-CN"/>
        </w:rPr>
        <w:t>六</w:t>
      </w:r>
      <w:r>
        <w:rPr>
          <w:rFonts w:hint="eastAsia" w:ascii="宋体" w:hAnsi="宋体"/>
          <w:b/>
          <w:color w:val="auto"/>
          <w:sz w:val="24"/>
        </w:rPr>
        <w:t>条  标的物交付：</w:t>
      </w:r>
      <w:r>
        <w:rPr>
          <w:rFonts w:hint="eastAsia" w:ascii="宋体" w:hAnsi="宋体"/>
          <w:sz w:val="24"/>
          <w:lang w:val="en-US" w:eastAsia="zh-CN"/>
        </w:rPr>
        <w:t>签订《土石料买卖合同》后，根据工程实际开挖进度，由委托人委托施工单位将标的物分批次交付给买受人。</w:t>
      </w:r>
    </w:p>
    <w:p w14:paraId="1759C1CD">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七</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土石料买卖合同</w:t>
      </w:r>
      <w:r>
        <w:rPr>
          <w:rFonts w:hint="eastAsia" w:ascii="宋体" w:hAnsi="宋体"/>
          <w:color w:val="auto"/>
          <w:sz w:val="24"/>
        </w:rPr>
        <w:t>》</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宁波市公共资源交易电子服务系统（甬易阳光）</w:t>
      </w:r>
      <w:r>
        <w:rPr>
          <w:rFonts w:hint="eastAsia" w:ascii="宋体" w:hAnsi="宋体" w:cs="宋体"/>
          <w:color w:val="auto"/>
          <w:kern w:val="0"/>
          <w:sz w:val="24"/>
        </w:rPr>
        <w:t>公告5个工作日。</w:t>
      </w:r>
    </w:p>
    <w:p w14:paraId="1D6B153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01075501">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6D89E30E">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281AFFA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宋体" w:hAnsi="宋体"/>
          <w:b/>
          <w:sz w:val="28"/>
          <w:szCs w:val="28"/>
        </w:rPr>
      </w:pPr>
      <w:r>
        <w:rPr>
          <w:rFonts w:hint="default" w:ascii="宋体" w:hAnsi="宋体"/>
          <w:b/>
          <w:sz w:val="28"/>
          <w:szCs w:val="28"/>
        </w:rPr>
        <w:t>会场纪律</w:t>
      </w:r>
    </w:p>
    <w:p w14:paraId="2F986F5C">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22008883">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3B12E4C7">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09DD4B7B">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0FDD5177">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43F7D205">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0F9E350F">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53E8892C">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772E30D2">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hint="eastAsia" w:ascii="宋体" w:hAnsi="宋体" w:cs="宋体"/>
          <w:color w:val="auto"/>
          <w:kern w:val="0"/>
          <w:sz w:val="24"/>
        </w:rPr>
      </w:pPr>
      <w:r>
        <w:rPr>
          <w:rFonts w:hint="default" w:ascii="宋体" w:hAnsi="宋体" w:cs="宋体"/>
          <w:kern w:val="0"/>
          <w:sz w:val="24"/>
        </w:rPr>
        <w:t>九、理性应价，谨慎举牌。</w:t>
      </w:r>
    </w:p>
    <w:p w14:paraId="5E3FF2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sz w:val="24"/>
        </w:rPr>
      </w:pPr>
    </w:p>
    <w:p w14:paraId="54766D7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宁波阳明拍卖有限公司</w:t>
      </w:r>
    </w:p>
    <w:p w14:paraId="7DEAFB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14:paraId="2706C930">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2F0A16CC">
      <w:pPr>
        <w:pStyle w:val="8"/>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64994B7D">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宁波舜通集团有限公司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6EAF38A7">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A633F59">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6A9A68CB">
      <w:pPr>
        <w:pStyle w:val="8"/>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20B53AEA">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余姚经济开发区西南园区配套道路(一期)工程K6+970-K7+140 桥梁左侧刷坡段多余土石料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。项目区位于余姚市城区中心北西侧320°方位直距约3.5km 处，中心地理坐标为东经121°07′07″，北纬30°03′20″，行政隶属余姚市阳明街道。开挖区面积：约5832平方米，具体坐标范围详见下表。</w:t>
      </w:r>
    </w:p>
    <w:p w14:paraId="394431EA">
      <w:pPr>
        <w:pStyle w:val="3"/>
        <w:keepNext/>
        <w:keepLines/>
        <w:pageBreakBefore w:val="0"/>
        <w:widowControl w:val="0"/>
        <w:kinsoku/>
        <w:wordWrap/>
        <w:overflowPunct/>
        <w:topLinePunct w:val="0"/>
        <w:autoSpaceDE/>
        <w:autoSpaceDN/>
        <w:bidi w:val="0"/>
        <w:adjustRightInd/>
        <w:snapToGrid/>
        <w:spacing w:before="0" w:after="0" w:line="320" w:lineRule="auto"/>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项目估算范围控制性拐点坐标表</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9"/>
        <w:gridCol w:w="1560"/>
        <w:gridCol w:w="1139"/>
        <w:gridCol w:w="1559"/>
        <w:gridCol w:w="1567"/>
      </w:tblGrid>
      <w:tr w14:paraId="1289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0B7209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pacing w:val="-5"/>
                <w:sz w:val="24"/>
                <w:szCs w:val="24"/>
                <w14:textFill>
                  <w14:solidFill>
                    <w14:schemeClr w14:val="tx1"/>
                  </w14:solidFill>
                </w14:textFill>
              </w:rPr>
              <w:t>拐点号</w:t>
            </w:r>
          </w:p>
        </w:tc>
        <w:tc>
          <w:tcPr>
            <w:tcW w:w="1559" w:type="dxa"/>
            <w:noWrap w:val="0"/>
            <w:vAlign w:val="center"/>
          </w:tcPr>
          <w:p w14:paraId="7F55F11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X</w:t>
            </w:r>
          </w:p>
        </w:tc>
        <w:tc>
          <w:tcPr>
            <w:tcW w:w="1560" w:type="dxa"/>
            <w:noWrap w:val="0"/>
            <w:vAlign w:val="center"/>
          </w:tcPr>
          <w:p w14:paraId="5F6AE03E">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Y</w:t>
            </w:r>
          </w:p>
        </w:tc>
        <w:tc>
          <w:tcPr>
            <w:tcW w:w="1139" w:type="dxa"/>
            <w:noWrap w:val="0"/>
            <w:vAlign w:val="center"/>
          </w:tcPr>
          <w:p w14:paraId="2E4F470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pacing w:val="-5"/>
                <w:sz w:val="24"/>
                <w:szCs w:val="24"/>
                <w14:textFill>
                  <w14:solidFill>
                    <w14:schemeClr w14:val="tx1"/>
                  </w14:solidFill>
                </w14:textFill>
              </w:rPr>
              <w:t>拐点号</w:t>
            </w:r>
          </w:p>
        </w:tc>
        <w:tc>
          <w:tcPr>
            <w:tcW w:w="1559" w:type="dxa"/>
            <w:noWrap w:val="0"/>
            <w:vAlign w:val="center"/>
          </w:tcPr>
          <w:p w14:paraId="481A48FC">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X</w:t>
            </w:r>
          </w:p>
        </w:tc>
        <w:tc>
          <w:tcPr>
            <w:tcW w:w="1567" w:type="dxa"/>
            <w:noWrap w:val="0"/>
            <w:vAlign w:val="center"/>
          </w:tcPr>
          <w:p w14:paraId="1EAC762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Y</w:t>
            </w:r>
          </w:p>
        </w:tc>
      </w:tr>
      <w:tr w14:paraId="663B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3F2FF7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w:t>
            </w:r>
          </w:p>
        </w:tc>
        <w:tc>
          <w:tcPr>
            <w:tcW w:w="1559" w:type="dxa"/>
            <w:noWrap w:val="0"/>
            <w:vAlign w:val="center"/>
          </w:tcPr>
          <w:p w14:paraId="0F02E8A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262623.36</w:t>
            </w:r>
          </w:p>
        </w:tc>
        <w:tc>
          <w:tcPr>
            <w:tcW w:w="1560" w:type="dxa"/>
            <w:noWrap w:val="0"/>
            <w:vAlign w:val="center"/>
          </w:tcPr>
          <w:p w14:paraId="6E95C53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126088.75</w:t>
            </w:r>
          </w:p>
        </w:tc>
        <w:tc>
          <w:tcPr>
            <w:tcW w:w="1139" w:type="dxa"/>
            <w:noWrap w:val="0"/>
            <w:vAlign w:val="center"/>
          </w:tcPr>
          <w:p w14:paraId="364F422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J18</w:t>
            </w:r>
          </w:p>
        </w:tc>
        <w:tc>
          <w:tcPr>
            <w:tcW w:w="1559" w:type="dxa"/>
            <w:noWrap w:val="0"/>
            <w:vAlign w:val="center"/>
          </w:tcPr>
          <w:p w14:paraId="158CFCE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262555.70</w:t>
            </w:r>
          </w:p>
        </w:tc>
        <w:tc>
          <w:tcPr>
            <w:tcW w:w="1567" w:type="dxa"/>
            <w:noWrap w:val="0"/>
            <w:vAlign w:val="center"/>
          </w:tcPr>
          <w:p w14:paraId="0E7A11D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125965.15</w:t>
            </w:r>
          </w:p>
        </w:tc>
      </w:tr>
      <w:tr w14:paraId="7336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BEBC62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w:t>
            </w:r>
          </w:p>
        </w:tc>
        <w:tc>
          <w:tcPr>
            <w:tcW w:w="1559" w:type="dxa"/>
            <w:noWrap w:val="0"/>
            <w:vAlign w:val="center"/>
          </w:tcPr>
          <w:p w14:paraId="5DEE0F2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262626.06</w:t>
            </w:r>
          </w:p>
        </w:tc>
        <w:tc>
          <w:tcPr>
            <w:tcW w:w="1560" w:type="dxa"/>
            <w:noWrap w:val="0"/>
            <w:vAlign w:val="center"/>
          </w:tcPr>
          <w:p w14:paraId="40A8EC7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126090.01</w:t>
            </w:r>
          </w:p>
        </w:tc>
        <w:tc>
          <w:tcPr>
            <w:tcW w:w="1139" w:type="dxa"/>
            <w:noWrap w:val="0"/>
            <w:vAlign w:val="center"/>
          </w:tcPr>
          <w:p w14:paraId="3E0872F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J19</w:t>
            </w:r>
          </w:p>
        </w:tc>
        <w:tc>
          <w:tcPr>
            <w:tcW w:w="1559" w:type="dxa"/>
            <w:noWrap w:val="0"/>
            <w:vAlign w:val="center"/>
          </w:tcPr>
          <w:p w14:paraId="7F89C85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262554.55</w:t>
            </w:r>
          </w:p>
        </w:tc>
        <w:tc>
          <w:tcPr>
            <w:tcW w:w="1567" w:type="dxa"/>
            <w:noWrap w:val="0"/>
            <w:vAlign w:val="center"/>
          </w:tcPr>
          <w:p w14:paraId="2E10C95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125969.78</w:t>
            </w:r>
          </w:p>
        </w:tc>
      </w:tr>
      <w:tr w14:paraId="6D7E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E23F6D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w:t>
            </w:r>
          </w:p>
        </w:tc>
        <w:tc>
          <w:tcPr>
            <w:tcW w:w="1559" w:type="dxa"/>
            <w:noWrap w:val="0"/>
            <w:vAlign w:val="center"/>
          </w:tcPr>
          <w:p w14:paraId="64CF917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262634.50</w:t>
            </w:r>
          </w:p>
        </w:tc>
        <w:tc>
          <w:tcPr>
            <w:tcW w:w="1560" w:type="dxa"/>
            <w:noWrap w:val="0"/>
            <w:vAlign w:val="center"/>
          </w:tcPr>
          <w:p w14:paraId="3C97AA7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126093.25</w:t>
            </w:r>
          </w:p>
        </w:tc>
        <w:tc>
          <w:tcPr>
            <w:tcW w:w="1139" w:type="dxa"/>
            <w:noWrap w:val="0"/>
            <w:vAlign w:val="center"/>
          </w:tcPr>
          <w:p w14:paraId="26E6CF5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J20</w:t>
            </w:r>
          </w:p>
        </w:tc>
        <w:tc>
          <w:tcPr>
            <w:tcW w:w="1559" w:type="dxa"/>
            <w:noWrap w:val="0"/>
            <w:vAlign w:val="center"/>
          </w:tcPr>
          <w:p w14:paraId="5752139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262553.68</w:t>
            </w:r>
          </w:p>
        </w:tc>
        <w:tc>
          <w:tcPr>
            <w:tcW w:w="1567" w:type="dxa"/>
            <w:noWrap w:val="0"/>
            <w:vAlign w:val="center"/>
          </w:tcPr>
          <w:p w14:paraId="44A6B72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125980.29</w:t>
            </w:r>
          </w:p>
        </w:tc>
      </w:tr>
      <w:tr w14:paraId="0446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509D944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J4</w:t>
            </w:r>
          </w:p>
        </w:tc>
        <w:tc>
          <w:tcPr>
            <w:tcW w:w="1559" w:type="dxa"/>
            <w:noWrap w:val="0"/>
            <w:vAlign w:val="center"/>
          </w:tcPr>
          <w:p w14:paraId="146197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262642.13</w:t>
            </w:r>
          </w:p>
        </w:tc>
        <w:tc>
          <w:tcPr>
            <w:tcW w:w="1560" w:type="dxa"/>
            <w:noWrap w:val="0"/>
            <w:vAlign w:val="center"/>
          </w:tcPr>
          <w:p w14:paraId="6948210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126094.90</w:t>
            </w:r>
          </w:p>
        </w:tc>
        <w:tc>
          <w:tcPr>
            <w:tcW w:w="1139" w:type="dxa"/>
            <w:noWrap w:val="0"/>
            <w:vAlign w:val="center"/>
          </w:tcPr>
          <w:p w14:paraId="3198183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J21</w:t>
            </w:r>
          </w:p>
        </w:tc>
        <w:tc>
          <w:tcPr>
            <w:tcW w:w="1559" w:type="dxa"/>
            <w:noWrap w:val="0"/>
            <w:vAlign w:val="center"/>
          </w:tcPr>
          <w:p w14:paraId="03D2C3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262558.93</w:t>
            </w:r>
          </w:p>
        </w:tc>
        <w:tc>
          <w:tcPr>
            <w:tcW w:w="1567" w:type="dxa"/>
            <w:noWrap w:val="0"/>
            <w:vAlign w:val="center"/>
          </w:tcPr>
          <w:p w14:paraId="2EA54D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126003.92</w:t>
            </w:r>
          </w:p>
        </w:tc>
      </w:tr>
      <w:tr w14:paraId="5E646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4AF138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J5</w:t>
            </w:r>
          </w:p>
        </w:tc>
        <w:tc>
          <w:tcPr>
            <w:tcW w:w="1559" w:type="dxa"/>
            <w:noWrap w:val="0"/>
            <w:vAlign w:val="center"/>
          </w:tcPr>
          <w:p w14:paraId="32E46F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262647.37</w:t>
            </w:r>
          </w:p>
        </w:tc>
        <w:tc>
          <w:tcPr>
            <w:tcW w:w="1560" w:type="dxa"/>
            <w:noWrap w:val="0"/>
            <w:vAlign w:val="center"/>
          </w:tcPr>
          <w:p w14:paraId="4C31DA71">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126095.79</w:t>
            </w:r>
          </w:p>
        </w:tc>
        <w:tc>
          <w:tcPr>
            <w:tcW w:w="1139" w:type="dxa"/>
            <w:noWrap w:val="0"/>
            <w:vAlign w:val="center"/>
          </w:tcPr>
          <w:p w14:paraId="75B2688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J22</w:t>
            </w:r>
          </w:p>
        </w:tc>
        <w:tc>
          <w:tcPr>
            <w:tcW w:w="1559" w:type="dxa"/>
            <w:noWrap w:val="0"/>
            <w:vAlign w:val="center"/>
          </w:tcPr>
          <w:p w14:paraId="49F034C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262559.72</w:t>
            </w:r>
          </w:p>
        </w:tc>
        <w:tc>
          <w:tcPr>
            <w:tcW w:w="1567" w:type="dxa"/>
            <w:noWrap w:val="0"/>
            <w:vAlign w:val="center"/>
          </w:tcPr>
          <w:p w14:paraId="09D6034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126008.01</w:t>
            </w:r>
          </w:p>
        </w:tc>
      </w:tr>
      <w:tr w14:paraId="6D75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2C61BD9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J6</w:t>
            </w:r>
          </w:p>
        </w:tc>
        <w:tc>
          <w:tcPr>
            <w:tcW w:w="1559" w:type="dxa"/>
            <w:noWrap w:val="0"/>
            <w:vAlign w:val="center"/>
          </w:tcPr>
          <w:p w14:paraId="6C96C88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262653.51</w:t>
            </w:r>
          </w:p>
        </w:tc>
        <w:tc>
          <w:tcPr>
            <w:tcW w:w="1560" w:type="dxa"/>
            <w:noWrap w:val="0"/>
            <w:vAlign w:val="center"/>
          </w:tcPr>
          <w:p w14:paraId="4C55C50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126089.43</w:t>
            </w:r>
          </w:p>
        </w:tc>
        <w:tc>
          <w:tcPr>
            <w:tcW w:w="1139" w:type="dxa"/>
            <w:noWrap w:val="0"/>
            <w:vAlign w:val="center"/>
          </w:tcPr>
          <w:p w14:paraId="7F1AA6F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J23</w:t>
            </w:r>
          </w:p>
        </w:tc>
        <w:tc>
          <w:tcPr>
            <w:tcW w:w="1559" w:type="dxa"/>
            <w:noWrap w:val="0"/>
            <w:vAlign w:val="center"/>
          </w:tcPr>
          <w:p w14:paraId="692FEAB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262561.43</w:t>
            </w:r>
          </w:p>
        </w:tc>
        <w:tc>
          <w:tcPr>
            <w:tcW w:w="1567" w:type="dxa"/>
            <w:noWrap w:val="0"/>
            <w:vAlign w:val="center"/>
          </w:tcPr>
          <w:p w14:paraId="2BA62D6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126013.50</w:t>
            </w:r>
          </w:p>
        </w:tc>
      </w:tr>
      <w:tr w14:paraId="1F59C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7059C67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J7</w:t>
            </w:r>
          </w:p>
        </w:tc>
        <w:tc>
          <w:tcPr>
            <w:tcW w:w="1559" w:type="dxa"/>
            <w:noWrap w:val="0"/>
            <w:vAlign w:val="center"/>
          </w:tcPr>
          <w:p w14:paraId="47B533A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262645.57</w:t>
            </w:r>
          </w:p>
        </w:tc>
        <w:tc>
          <w:tcPr>
            <w:tcW w:w="1560" w:type="dxa"/>
            <w:noWrap w:val="0"/>
            <w:vAlign w:val="center"/>
          </w:tcPr>
          <w:p w14:paraId="741044C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126075.35</w:t>
            </w:r>
          </w:p>
        </w:tc>
        <w:tc>
          <w:tcPr>
            <w:tcW w:w="1139" w:type="dxa"/>
            <w:noWrap w:val="0"/>
            <w:vAlign w:val="center"/>
          </w:tcPr>
          <w:p w14:paraId="42BD897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J24</w:t>
            </w:r>
          </w:p>
        </w:tc>
        <w:tc>
          <w:tcPr>
            <w:tcW w:w="1559" w:type="dxa"/>
            <w:noWrap w:val="0"/>
            <w:vAlign w:val="center"/>
          </w:tcPr>
          <w:p w14:paraId="58F9120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262564.65</w:t>
            </w:r>
          </w:p>
        </w:tc>
        <w:tc>
          <w:tcPr>
            <w:tcW w:w="1567" w:type="dxa"/>
            <w:noWrap w:val="0"/>
            <w:vAlign w:val="center"/>
          </w:tcPr>
          <w:p w14:paraId="3B17814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126019.99</w:t>
            </w:r>
          </w:p>
        </w:tc>
      </w:tr>
      <w:tr w14:paraId="67B23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11AFA9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J8</w:t>
            </w:r>
          </w:p>
        </w:tc>
        <w:tc>
          <w:tcPr>
            <w:tcW w:w="1559" w:type="dxa"/>
            <w:noWrap w:val="0"/>
            <w:vAlign w:val="center"/>
          </w:tcPr>
          <w:p w14:paraId="6685EE8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262624.85</w:t>
            </w:r>
          </w:p>
        </w:tc>
        <w:tc>
          <w:tcPr>
            <w:tcW w:w="1560" w:type="dxa"/>
            <w:noWrap w:val="0"/>
            <w:vAlign w:val="center"/>
          </w:tcPr>
          <w:p w14:paraId="604640B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126043.21</w:t>
            </w:r>
          </w:p>
        </w:tc>
        <w:tc>
          <w:tcPr>
            <w:tcW w:w="1139" w:type="dxa"/>
            <w:noWrap w:val="0"/>
            <w:vAlign w:val="center"/>
          </w:tcPr>
          <w:p w14:paraId="5301845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J25</w:t>
            </w:r>
          </w:p>
        </w:tc>
        <w:tc>
          <w:tcPr>
            <w:tcW w:w="1559" w:type="dxa"/>
            <w:noWrap w:val="0"/>
            <w:vAlign w:val="center"/>
          </w:tcPr>
          <w:p w14:paraId="7BE5E78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262574.36</w:t>
            </w:r>
          </w:p>
        </w:tc>
        <w:tc>
          <w:tcPr>
            <w:tcW w:w="1567" w:type="dxa"/>
            <w:noWrap w:val="0"/>
            <w:vAlign w:val="center"/>
          </w:tcPr>
          <w:p w14:paraId="33E1FD5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126038.09</w:t>
            </w:r>
          </w:p>
        </w:tc>
      </w:tr>
      <w:tr w14:paraId="769BC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1A76A61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J9</w:t>
            </w:r>
          </w:p>
        </w:tc>
        <w:tc>
          <w:tcPr>
            <w:tcW w:w="1559" w:type="dxa"/>
            <w:noWrap w:val="0"/>
            <w:vAlign w:val="center"/>
          </w:tcPr>
          <w:p w14:paraId="7A88387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262612.89</w:t>
            </w:r>
          </w:p>
        </w:tc>
        <w:tc>
          <w:tcPr>
            <w:tcW w:w="1560" w:type="dxa"/>
            <w:noWrap w:val="0"/>
            <w:vAlign w:val="center"/>
          </w:tcPr>
          <w:p w14:paraId="19B3926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126022.20</w:t>
            </w:r>
          </w:p>
        </w:tc>
        <w:tc>
          <w:tcPr>
            <w:tcW w:w="1139" w:type="dxa"/>
            <w:noWrap w:val="0"/>
            <w:vAlign w:val="center"/>
          </w:tcPr>
          <w:p w14:paraId="6C5DBEE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J26</w:t>
            </w:r>
          </w:p>
        </w:tc>
        <w:tc>
          <w:tcPr>
            <w:tcW w:w="1559" w:type="dxa"/>
            <w:noWrap w:val="0"/>
            <w:vAlign w:val="center"/>
          </w:tcPr>
          <w:p w14:paraId="3B04A4B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262581.62</w:t>
            </w:r>
          </w:p>
        </w:tc>
        <w:tc>
          <w:tcPr>
            <w:tcW w:w="1567" w:type="dxa"/>
            <w:noWrap w:val="0"/>
            <w:vAlign w:val="center"/>
          </w:tcPr>
          <w:p w14:paraId="6179D76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126049.80</w:t>
            </w:r>
          </w:p>
        </w:tc>
      </w:tr>
      <w:tr w14:paraId="36288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D4E4DC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J10</w:t>
            </w:r>
          </w:p>
        </w:tc>
        <w:tc>
          <w:tcPr>
            <w:tcW w:w="1559" w:type="dxa"/>
            <w:noWrap w:val="0"/>
            <w:vAlign w:val="center"/>
          </w:tcPr>
          <w:p w14:paraId="7FE2667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262595.75</w:t>
            </w:r>
          </w:p>
        </w:tc>
        <w:tc>
          <w:tcPr>
            <w:tcW w:w="1560" w:type="dxa"/>
            <w:noWrap w:val="0"/>
            <w:vAlign w:val="center"/>
          </w:tcPr>
          <w:p w14:paraId="7D6BE9D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125983.41</w:t>
            </w:r>
          </w:p>
        </w:tc>
        <w:tc>
          <w:tcPr>
            <w:tcW w:w="1139" w:type="dxa"/>
            <w:noWrap w:val="0"/>
            <w:vAlign w:val="center"/>
          </w:tcPr>
          <w:p w14:paraId="370BF8A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J27</w:t>
            </w:r>
          </w:p>
        </w:tc>
        <w:tc>
          <w:tcPr>
            <w:tcW w:w="1559" w:type="dxa"/>
            <w:noWrap w:val="0"/>
            <w:vAlign w:val="center"/>
          </w:tcPr>
          <w:p w14:paraId="529CF9E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262584.43</w:t>
            </w:r>
          </w:p>
        </w:tc>
        <w:tc>
          <w:tcPr>
            <w:tcW w:w="1567" w:type="dxa"/>
            <w:noWrap w:val="0"/>
            <w:vAlign w:val="center"/>
          </w:tcPr>
          <w:p w14:paraId="074DD7C9">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126053.79</w:t>
            </w:r>
          </w:p>
        </w:tc>
      </w:tr>
      <w:tr w14:paraId="7BAC7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3B19B92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J11</w:t>
            </w:r>
          </w:p>
        </w:tc>
        <w:tc>
          <w:tcPr>
            <w:tcW w:w="1559" w:type="dxa"/>
            <w:noWrap w:val="0"/>
            <w:vAlign w:val="center"/>
          </w:tcPr>
          <w:p w14:paraId="0621AB7E">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262587.24</w:t>
            </w:r>
          </w:p>
        </w:tc>
        <w:tc>
          <w:tcPr>
            <w:tcW w:w="1560" w:type="dxa"/>
            <w:noWrap w:val="0"/>
            <w:vAlign w:val="center"/>
          </w:tcPr>
          <w:p w14:paraId="5A00305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125963.18</w:t>
            </w:r>
          </w:p>
        </w:tc>
        <w:tc>
          <w:tcPr>
            <w:tcW w:w="1139" w:type="dxa"/>
            <w:noWrap w:val="0"/>
            <w:vAlign w:val="center"/>
          </w:tcPr>
          <w:p w14:paraId="0549C63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J28</w:t>
            </w:r>
          </w:p>
        </w:tc>
        <w:tc>
          <w:tcPr>
            <w:tcW w:w="1559" w:type="dxa"/>
            <w:noWrap w:val="0"/>
            <w:vAlign w:val="center"/>
          </w:tcPr>
          <w:p w14:paraId="406096E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262590.99</w:t>
            </w:r>
          </w:p>
        </w:tc>
        <w:tc>
          <w:tcPr>
            <w:tcW w:w="1567" w:type="dxa"/>
            <w:noWrap w:val="0"/>
            <w:vAlign w:val="center"/>
          </w:tcPr>
          <w:p w14:paraId="29B8877A">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126060.21</w:t>
            </w:r>
          </w:p>
        </w:tc>
      </w:tr>
      <w:tr w14:paraId="34490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C7E5EC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J12</w:t>
            </w:r>
          </w:p>
        </w:tc>
        <w:tc>
          <w:tcPr>
            <w:tcW w:w="1559" w:type="dxa"/>
            <w:noWrap w:val="0"/>
            <w:vAlign w:val="center"/>
          </w:tcPr>
          <w:p w14:paraId="7DC34BE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262581.94</w:t>
            </w:r>
          </w:p>
        </w:tc>
        <w:tc>
          <w:tcPr>
            <w:tcW w:w="1560" w:type="dxa"/>
            <w:noWrap w:val="0"/>
            <w:vAlign w:val="center"/>
          </w:tcPr>
          <w:p w14:paraId="65DD81E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125954.44</w:t>
            </w:r>
          </w:p>
        </w:tc>
        <w:tc>
          <w:tcPr>
            <w:tcW w:w="1139" w:type="dxa"/>
            <w:noWrap w:val="0"/>
            <w:vAlign w:val="center"/>
          </w:tcPr>
          <w:p w14:paraId="6CB37FB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J29</w:t>
            </w:r>
          </w:p>
        </w:tc>
        <w:tc>
          <w:tcPr>
            <w:tcW w:w="1559" w:type="dxa"/>
            <w:noWrap w:val="0"/>
            <w:vAlign w:val="center"/>
          </w:tcPr>
          <w:p w14:paraId="038983B5">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262596.05</w:t>
            </w:r>
          </w:p>
        </w:tc>
        <w:tc>
          <w:tcPr>
            <w:tcW w:w="1567" w:type="dxa"/>
            <w:noWrap w:val="0"/>
            <w:vAlign w:val="center"/>
          </w:tcPr>
          <w:p w14:paraId="12C9636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126065.78</w:t>
            </w:r>
          </w:p>
        </w:tc>
      </w:tr>
      <w:tr w14:paraId="63783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5F1688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J13</w:t>
            </w:r>
          </w:p>
        </w:tc>
        <w:tc>
          <w:tcPr>
            <w:tcW w:w="1559" w:type="dxa"/>
            <w:noWrap w:val="0"/>
            <w:vAlign w:val="center"/>
          </w:tcPr>
          <w:p w14:paraId="31A5301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262576.50</w:t>
            </w:r>
          </w:p>
        </w:tc>
        <w:tc>
          <w:tcPr>
            <w:tcW w:w="1560" w:type="dxa"/>
            <w:noWrap w:val="0"/>
            <w:vAlign w:val="center"/>
          </w:tcPr>
          <w:p w14:paraId="775FCC6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125949.88</w:t>
            </w:r>
          </w:p>
        </w:tc>
        <w:tc>
          <w:tcPr>
            <w:tcW w:w="1139" w:type="dxa"/>
            <w:noWrap w:val="0"/>
            <w:vAlign w:val="center"/>
          </w:tcPr>
          <w:p w14:paraId="031257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J30</w:t>
            </w:r>
          </w:p>
        </w:tc>
        <w:tc>
          <w:tcPr>
            <w:tcW w:w="1559" w:type="dxa"/>
            <w:noWrap w:val="0"/>
            <w:vAlign w:val="center"/>
          </w:tcPr>
          <w:p w14:paraId="0FEA005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262601.95</w:t>
            </w:r>
          </w:p>
        </w:tc>
        <w:tc>
          <w:tcPr>
            <w:tcW w:w="1567" w:type="dxa"/>
            <w:noWrap w:val="0"/>
            <w:vAlign w:val="center"/>
          </w:tcPr>
          <w:p w14:paraId="03AC3DE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126070.75</w:t>
            </w:r>
          </w:p>
        </w:tc>
      </w:tr>
      <w:tr w14:paraId="48BBD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617584F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J14</w:t>
            </w:r>
          </w:p>
        </w:tc>
        <w:tc>
          <w:tcPr>
            <w:tcW w:w="1559" w:type="dxa"/>
            <w:noWrap w:val="0"/>
            <w:vAlign w:val="center"/>
          </w:tcPr>
          <w:p w14:paraId="2D851EDC">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262569.26</w:t>
            </w:r>
          </w:p>
        </w:tc>
        <w:tc>
          <w:tcPr>
            <w:tcW w:w="1560" w:type="dxa"/>
            <w:noWrap w:val="0"/>
            <w:vAlign w:val="center"/>
          </w:tcPr>
          <w:p w14:paraId="34D5CD40">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125948.32</w:t>
            </w:r>
          </w:p>
        </w:tc>
        <w:tc>
          <w:tcPr>
            <w:tcW w:w="1139" w:type="dxa"/>
            <w:noWrap w:val="0"/>
            <w:vAlign w:val="center"/>
          </w:tcPr>
          <w:p w14:paraId="467BE73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J31</w:t>
            </w:r>
          </w:p>
        </w:tc>
        <w:tc>
          <w:tcPr>
            <w:tcW w:w="1559" w:type="dxa"/>
            <w:noWrap w:val="0"/>
            <w:vAlign w:val="center"/>
          </w:tcPr>
          <w:p w14:paraId="733A05F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262606.13</w:t>
            </w:r>
          </w:p>
        </w:tc>
        <w:tc>
          <w:tcPr>
            <w:tcW w:w="1567" w:type="dxa"/>
            <w:noWrap w:val="0"/>
            <w:vAlign w:val="center"/>
          </w:tcPr>
          <w:p w14:paraId="494BB31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126074.50</w:t>
            </w:r>
          </w:p>
        </w:tc>
      </w:tr>
      <w:tr w14:paraId="45C3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BC3539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J15</w:t>
            </w:r>
          </w:p>
        </w:tc>
        <w:tc>
          <w:tcPr>
            <w:tcW w:w="1559" w:type="dxa"/>
            <w:noWrap w:val="0"/>
            <w:vAlign w:val="center"/>
          </w:tcPr>
          <w:p w14:paraId="1E03B8A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262563.81</w:t>
            </w:r>
          </w:p>
        </w:tc>
        <w:tc>
          <w:tcPr>
            <w:tcW w:w="1560" w:type="dxa"/>
            <w:noWrap w:val="0"/>
            <w:vAlign w:val="center"/>
          </w:tcPr>
          <w:p w14:paraId="43E3686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125951.22</w:t>
            </w:r>
          </w:p>
        </w:tc>
        <w:tc>
          <w:tcPr>
            <w:tcW w:w="1139" w:type="dxa"/>
            <w:noWrap w:val="0"/>
            <w:vAlign w:val="center"/>
          </w:tcPr>
          <w:p w14:paraId="4E8F295D">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J32</w:t>
            </w:r>
          </w:p>
        </w:tc>
        <w:tc>
          <w:tcPr>
            <w:tcW w:w="1559" w:type="dxa"/>
            <w:noWrap w:val="0"/>
            <w:vAlign w:val="center"/>
          </w:tcPr>
          <w:p w14:paraId="070804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262613.47</w:t>
            </w:r>
          </w:p>
        </w:tc>
        <w:tc>
          <w:tcPr>
            <w:tcW w:w="1567" w:type="dxa"/>
            <w:noWrap w:val="0"/>
            <w:vAlign w:val="center"/>
          </w:tcPr>
          <w:p w14:paraId="12B915E3">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126080.18</w:t>
            </w:r>
          </w:p>
        </w:tc>
      </w:tr>
      <w:tr w14:paraId="612F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432A34C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J16</w:t>
            </w:r>
          </w:p>
        </w:tc>
        <w:tc>
          <w:tcPr>
            <w:tcW w:w="1559" w:type="dxa"/>
            <w:noWrap w:val="0"/>
            <w:vAlign w:val="center"/>
          </w:tcPr>
          <w:p w14:paraId="17FDEEB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262555.86</w:t>
            </w:r>
          </w:p>
        </w:tc>
        <w:tc>
          <w:tcPr>
            <w:tcW w:w="1560" w:type="dxa"/>
            <w:noWrap w:val="0"/>
            <w:vAlign w:val="center"/>
          </w:tcPr>
          <w:p w14:paraId="1004AD16">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125957.61</w:t>
            </w:r>
          </w:p>
        </w:tc>
        <w:tc>
          <w:tcPr>
            <w:tcW w:w="1139" w:type="dxa"/>
            <w:noWrap w:val="0"/>
            <w:vAlign w:val="center"/>
          </w:tcPr>
          <w:p w14:paraId="2A97E14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J33</w:t>
            </w:r>
          </w:p>
        </w:tc>
        <w:tc>
          <w:tcPr>
            <w:tcW w:w="1559" w:type="dxa"/>
            <w:noWrap w:val="0"/>
            <w:vAlign w:val="center"/>
          </w:tcPr>
          <w:p w14:paraId="01D8C747">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262619.41</w:t>
            </w:r>
          </w:p>
        </w:tc>
        <w:tc>
          <w:tcPr>
            <w:tcW w:w="1567" w:type="dxa"/>
            <w:noWrap w:val="0"/>
            <w:vAlign w:val="center"/>
          </w:tcPr>
          <w:p w14:paraId="03A2B2F8">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126085.65</w:t>
            </w:r>
          </w:p>
        </w:tc>
      </w:tr>
      <w:tr w14:paraId="7C84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43" w:type="dxa"/>
            <w:noWrap w:val="0"/>
            <w:vAlign w:val="center"/>
          </w:tcPr>
          <w:p w14:paraId="0A401A54">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J17</w:t>
            </w:r>
          </w:p>
        </w:tc>
        <w:tc>
          <w:tcPr>
            <w:tcW w:w="1559" w:type="dxa"/>
            <w:noWrap w:val="0"/>
            <w:vAlign w:val="center"/>
          </w:tcPr>
          <w:p w14:paraId="3B78B60F">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262558.11</w:t>
            </w:r>
          </w:p>
        </w:tc>
        <w:tc>
          <w:tcPr>
            <w:tcW w:w="1560" w:type="dxa"/>
            <w:noWrap w:val="0"/>
            <w:vAlign w:val="center"/>
          </w:tcPr>
          <w:p w14:paraId="5CA6084B">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125962.35</w:t>
            </w:r>
          </w:p>
        </w:tc>
        <w:tc>
          <w:tcPr>
            <w:tcW w:w="1139" w:type="dxa"/>
            <w:noWrap w:val="0"/>
            <w:vAlign w:val="center"/>
          </w:tcPr>
          <w:p w14:paraId="00EC0A4F">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559" w:type="dxa"/>
            <w:noWrap w:val="0"/>
            <w:vAlign w:val="center"/>
          </w:tcPr>
          <w:p w14:paraId="7E7697A5">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567" w:type="dxa"/>
            <w:noWrap w:val="0"/>
            <w:vAlign w:val="center"/>
          </w:tcPr>
          <w:p w14:paraId="1A9C56B8">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14:textFill>
                  <w14:solidFill>
                    <w14:schemeClr w14:val="tx1"/>
                  </w14:solidFill>
                </w14:textFill>
              </w:rPr>
            </w:pPr>
          </w:p>
        </w:tc>
      </w:tr>
      <w:tr w14:paraId="6484B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527" w:type="dxa"/>
            <w:gridSpan w:val="6"/>
            <w:noWrap w:val="0"/>
            <w:vAlign w:val="center"/>
          </w:tcPr>
          <w:p w14:paraId="62C5DA82">
            <w:pPr>
              <w:pStyle w:val="7"/>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pacing w:val="-5"/>
                <w:sz w:val="24"/>
                <w:szCs w:val="24"/>
                <w:lang w:eastAsia="zh-CN"/>
                <w14:textFill>
                  <w14:solidFill>
                    <w14:schemeClr w14:val="tx1"/>
                  </w14:solidFill>
                </w14:textFill>
              </w:rPr>
              <w:t>（宁波市</w:t>
            </w:r>
            <w:r>
              <w:rPr>
                <w:rFonts w:hint="eastAsia" w:ascii="仿宋" w:hAnsi="仿宋" w:eastAsia="仿宋" w:cs="仿宋"/>
                <w:color w:val="000000" w:themeColor="text1"/>
                <w:spacing w:val="-45"/>
                <w:sz w:val="24"/>
                <w:szCs w:val="24"/>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lang w:eastAsia="zh-CN"/>
                <w14:textFill>
                  <w14:solidFill>
                    <w14:schemeClr w14:val="tx1"/>
                  </w14:solidFill>
                </w14:textFill>
              </w:rPr>
              <w:t>2000 坐标系，1985</w:t>
            </w:r>
            <w:r>
              <w:rPr>
                <w:rFonts w:hint="eastAsia" w:ascii="仿宋" w:hAnsi="仿宋" w:eastAsia="仿宋" w:cs="仿宋"/>
                <w:color w:val="000000" w:themeColor="text1"/>
                <w:spacing w:val="24"/>
                <w:sz w:val="24"/>
                <w:szCs w:val="24"/>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lang w:eastAsia="zh-CN"/>
                <w14:textFill>
                  <w14:solidFill>
                    <w14:schemeClr w14:val="tx1"/>
                  </w14:solidFill>
                </w14:textFill>
              </w:rPr>
              <w:t>国家高程基准）</w:t>
            </w:r>
          </w:p>
        </w:tc>
      </w:tr>
    </w:tbl>
    <w:p w14:paraId="49057E77">
      <w:pPr>
        <w:pStyle w:val="8"/>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工程期限：</w:t>
      </w:r>
      <w:r>
        <w:rPr>
          <w:rFonts w:hint="eastAsia" w:ascii="仿宋" w:hAnsi="仿宋" w:eastAsia="仿宋" w:cs="仿宋"/>
          <w:color w:val="000000" w:themeColor="text1"/>
          <w:sz w:val="30"/>
          <w:szCs w:val="30"/>
          <w:lang w:val="en-US" w:eastAsia="zh-CN"/>
          <w14:textFill>
            <w14:solidFill>
              <w14:schemeClr w14:val="tx1"/>
            </w14:solidFill>
          </w14:textFill>
        </w:rPr>
        <w:t>具体以工程实际开挖进度为准。</w:t>
      </w:r>
    </w:p>
    <w:p w14:paraId="44AA334F">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（三）设计拟开挖量：0.84万立方米（约1.96万吨）。乙方在拍卖前已赴现场实地踏勘标的物并自行估算，对标的物的具体情况已经充分了解，对标的物的质量和数量（及可能存在的差异）予以认可，无任何异议。</w:t>
      </w:r>
    </w:p>
    <w:p w14:paraId="17BF19DF">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（四）标的物的数量、重量、品质均为设计估算；数量、重量、品质按实际交付为准（交付时不再过磅），如实际交付有差距，则不进行转让价款的退补，相应风险由乙方自行承担。</w:t>
      </w:r>
    </w:p>
    <w:p w14:paraId="4E072B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（五）根据《土石料量估算报告》（ZGK14-B2024-071)，开挖区岩石以风化层为主，风化岩石经采样测试，抗压强度均较低，可作宕碴综合利用。</w:t>
      </w:r>
    </w:p>
    <w:p w14:paraId="70341FC9">
      <w:pPr>
        <w:pStyle w:val="8"/>
        <w:keepNext w:val="0"/>
        <w:keepLines w:val="0"/>
        <w:pageBreakBefore w:val="0"/>
        <w:widowControl/>
        <w:kinsoku/>
        <w:wordWrap/>
        <w:overflowPunct/>
        <w:topLinePunct w:val="0"/>
        <w:autoSpaceDE/>
        <w:autoSpaceDN/>
        <w:bidi w:val="0"/>
        <w:adjustRightInd/>
        <w:snapToGrid/>
        <w:spacing w:beforeAutospacing="0" w:afterAutospacing="0" w:line="52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6D9CB62C">
      <w:pPr>
        <w:pStyle w:val="8"/>
        <w:keepNext w:val="0"/>
        <w:keepLines w:val="0"/>
        <w:pageBreakBefore w:val="0"/>
        <w:kinsoku/>
        <w:wordWrap/>
        <w:overflowPunct/>
        <w:topLinePunct w:val="0"/>
        <w:autoSpaceDE/>
        <w:autoSpaceDN/>
        <w:bidi w:val="0"/>
        <w:adjustRightInd/>
        <w:snapToGrid/>
        <w:spacing w:beforeAutospacing="0" w:afterAutospacing="0" w:line="52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509F07EC">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3F95C3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人民币5万元。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履约保证金（按交款当日的银行同期活期存款利率计息）。</w:t>
      </w:r>
    </w:p>
    <w:p w14:paraId="4565B26A">
      <w:pPr>
        <w:pStyle w:val="8"/>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224E3871">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33C204A9">
      <w:pPr>
        <w:keepNext w:val="0"/>
        <w:keepLines w:val="0"/>
        <w:pageBreakBefore w:val="0"/>
        <w:widowControl w:val="0"/>
        <w:tabs>
          <w:tab w:val="left" w:pos="8280"/>
        </w:tabs>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（二）乙方须在拍卖成交后30天内，即</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w:t>
      </w:r>
      <w:r>
        <w:rPr>
          <w:rFonts w:hint="eastAsia" w:ascii="仿宋" w:hAnsi="仿宋" w:eastAsia="仿宋" w:cs="仿宋"/>
          <w:b w:val="0"/>
          <w:bCs w:val="0"/>
          <w:color w:val="000000" w:themeColor="text1"/>
          <w:sz w:val="30"/>
          <w:szCs w:val="30"/>
          <w:lang w:val="en-US" w:eastAsia="zh-CN"/>
          <w14:textFill>
            <w14:solidFill>
              <w14:schemeClr w14:val="tx1"/>
            </w14:solidFill>
          </w14:textFill>
        </w:rPr>
        <w:t>（因施工进度原因除外）完成土石料的清运。逾期视为自动放弃，甲方有权按废弃物予以处理，相关处置费用由乙方承担，且履约保证金不予退还。</w:t>
      </w:r>
    </w:p>
    <w:p w14:paraId="7E70895A">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乙方须根据施工进度取料，每次须在接到施工单位开挖通知后5天内完成土石料的清运，逾期视为自动放弃，甲方有权按废弃物予以处理，相关处置费用由乙方承担（从履约保证金中扣除）。上述情况超过3次，甲方有权提前终止合同，且履约保证金不予退还。</w:t>
      </w:r>
    </w:p>
    <w:p w14:paraId="321715F5">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60" w:lineRule="exact"/>
        <w:ind w:firstLine="600" w:firstLineChars="200"/>
        <w:textAlignment w:val="auto"/>
        <w:rPr>
          <w:rFonts w:hint="eastAsia"/>
          <w:color w:val="FF000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6347A53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0E7BA4E8">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w:t>
      </w:r>
      <w:r>
        <w:rPr>
          <w:rFonts w:hint="eastAsia" w:ascii="仿宋" w:hAnsi="仿宋" w:eastAsia="仿宋" w:cs="仿宋"/>
          <w:color w:val="000000" w:themeColor="text1"/>
          <w:sz w:val="30"/>
          <w:szCs w:val="30"/>
          <w:lang w:val="en-US" w:eastAsia="zh-CN"/>
          <w14:textFill>
            <w14:solidFill>
              <w14:schemeClr w14:val="tx1"/>
            </w14:solidFill>
          </w14:textFill>
        </w:rPr>
        <w:t>土石料外运过程中进来车辆必须按土石料道路清运规定执行，相关工作由街道城管负责监督管理。</w:t>
      </w:r>
    </w:p>
    <w:p w14:paraId="1E6359A3">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乙方在履约期间，须无条件自行承担各类费用及安全环保责任（包括但不限于装卸、运输、安全事故、各类纠纷、税费等）。乙方须设置冲洗设备和设置，保持环境清洁，不污染路面，如有环境污染问题，除移交环保部门和交通综合执法部门处理外，每次处以罚金3万元。</w:t>
      </w:r>
    </w:p>
    <w:p w14:paraId="1FDA0C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43B266A">
      <w:pPr>
        <w:pStyle w:val="3"/>
        <w:keepNext/>
        <w:keepLines/>
        <w:pageBreakBefore w:val="0"/>
        <w:widowControl w:val="0"/>
        <w:kinsoku/>
        <w:wordWrap/>
        <w:overflowPunct/>
        <w:topLinePunct w:val="0"/>
        <w:autoSpaceDE/>
        <w:autoSpaceDN/>
        <w:bidi w:val="0"/>
        <w:adjustRightInd/>
        <w:snapToGrid/>
        <w:spacing w:before="0" w:after="0" w:line="5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28AA4D31">
      <w:pPr>
        <w:pStyle w:val="3"/>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15BE5B25">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358E310B">
      <w:pPr>
        <w:pStyle w:val="3"/>
        <w:keepNext/>
        <w:keepLines/>
        <w:pageBreakBefore w:val="0"/>
        <w:widowControl w:val="0"/>
        <w:kinsoku/>
        <w:wordWrap/>
        <w:overflowPunct/>
        <w:topLinePunct w:val="0"/>
        <w:autoSpaceDE/>
        <w:autoSpaceDN/>
        <w:bidi w:val="0"/>
        <w:adjustRightInd/>
        <w:snapToGrid/>
        <w:spacing w:before="0" w:after="0" w:line="56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7A5732F7">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4CEA3CBA">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2、乙方须根据施工进度随时取料，同时自行做好土石料管理与施工单位的协调工作。</w:t>
      </w:r>
    </w:p>
    <w:p w14:paraId="092E0CE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3、乙方须自行办理清运相关手续、承担费用，并组织机械设备及装运车辆（不得超过20吨）清运；且在清运期间不得影响周边居民、企业的正常生活及生产，确保道路通畅。如遇道路通行、人身财产安全和损坏问题，均由乙方自行解决，与甲方无涉。</w:t>
      </w:r>
    </w:p>
    <w:p w14:paraId="679B025B">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2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乙方须严格遵守国家安全生产的法律法规和标准进行装卸、清运，并制定相对应的安全事故应急处置预案，确保清运工作顺利完成。</w:t>
      </w:r>
    </w:p>
    <w:p w14:paraId="16694E3C">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2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t>乙方应为所有作业人员购买相应人身意外保险，如发生安全事故所造成的一切损失由乙方自行承担，与甲方无涉。</w:t>
      </w:r>
    </w:p>
    <w:p w14:paraId="401C3277">
      <w:pPr>
        <w:keepNext w:val="0"/>
        <w:keepLines w:val="0"/>
        <w:pageBreakBefore w:val="0"/>
        <w:widowControl w:val="0"/>
        <w:tabs>
          <w:tab w:val="left" w:pos="8280"/>
        </w:tabs>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发生重大安全事故或人员伤亡时，乙方应采取必要的措施，及时抢救伤员，防止事态进一步扩大、减少损失，同时须立即报告甲方</w:t>
      </w:r>
      <w:r>
        <w:rPr>
          <w:rFonts w:hint="eastAsia" w:ascii="仿宋" w:hAnsi="仿宋" w:eastAsia="仿宋" w:cs="仿宋"/>
          <w:color w:val="000000" w:themeColor="text1"/>
          <w:sz w:val="30"/>
          <w:szCs w:val="30"/>
          <w:lang w:eastAsia="zh-CN"/>
          <w14:textFill>
            <w14:solidFill>
              <w14:schemeClr w14:val="tx1"/>
            </w14:solidFill>
          </w14:textFill>
        </w:rPr>
        <w:t>及相关部门</w:t>
      </w:r>
      <w:r>
        <w:rPr>
          <w:rFonts w:hint="eastAsia" w:ascii="仿宋" w:hAnsi="仿宋" w:eastAsia="仿宋" w:cs="仿宋"/>
          <w:color w:val="000000" w:themeColor="text1"/>
          <w:sz w:val="30"/>
          <w:szCs w:val="30"/>
          <w14:textFill>
            <w14:solidFill>
              <w14:schemeClr w14:val="tx1"/>
            </w14:solidFill>
          </w14:textFill>
        </w:rPr>
        <w:t>。</w:t>
      </w:r>
    </w:p>
    <w:p w14:paraId="49D598A0">
      <w:pPr>
        <w:keepNext w:val="0"/>
        <w:keepLines w:val="0"/>
        <w:pageBreakBefore w:val="0"/>
        <w:widowControl w:val="0"/>
        <w:tabs>
          <w:tab w:val="left" w:pos="8280"/>
        </w:tabs>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5、乙方</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的车辆和机械应在指定位置装卸</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土石料</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1E3A4CAD">
      <w:pPr>
        <w:keepNext w:val="0"/>
        <w:keepLines w:val="0"/>
        <w:pageBreakBefore w:val="0"/>
        <w:widowControl w:val="0"/>
        <w:tabs>
          <w:tab w:val="left" w:pos="8280"/>
        </w:tabs>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6、乙方在履约期间，被第三方投诉或者诉讼的，由乙方自行解决，由此引起的法律风险和经济损失由乙方自行承担。</w:t>
      </w:r>
    </w:p>
    <w:p w14:paraId="2977B76E">
      <w:pPr>
        <w:keepNext w:val="0"/>
        <w:keepLines w:val="0"/>
        <w:pageBreakBefore w:val="0"/>
        <w:widowControl w:val="0"/>
        <w:tabs>
          <w:tab w:val="left" w:pos="8280"/>
        </w:tabs>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7、在履约期间，因乙方原因（包括但不限于安全责任事故等）造成第三方人身损害及财产损失的，由乙方自行承担责任和负责赔偿，与甲方无涉。</w:t>
      </w:r>
    </w:p>
    <w:p w14:paraId="5F09D0B4">
      <w:pPr>
        <w:keepNext w:val="0"/>
        <w:keepLines w:val="0"/>
        <w:pageBreakBefore w:val="0"/>
        <w:widowControl w:val="0"/>
        <w:tabs>
          <w:tab w:val="left" w:pos="8280"/>
        </w:tabs>
        <w:kinsoku/>
        <w:wordWrap/>
        <w:overflowPunct/>
        <w:topLinePunct w:val="0"/>
        <w:autoSpaceDE/>
        <w:autoSpaceDN/>
        <w:bidi w:val="0"/>
        <w:adjustRightInd/>
        <w:snapToGrid/>
        <w:spacing w:line="52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5D006F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63DD344C">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47998177">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0075B57E">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5BECBEAB">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52B6289C">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1B4E434">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224CDC0">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1A47A898">
      <w:pPr>
        <w:keepNext w:val="0"/>
        <w:keepLines w:val="0"/>
        <w:pageBreakBefore w:val="0"/>
        <w:widowControl w:val="0"/>
        <w:tabs>
          <w:tab w:val="left" w:pos="8280"/>
        </w:tabs>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21A35CF7">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2AB2D47E">
      <w:pPr>
        <w:keepNext w:val="0"/>
        <w:keepLines w:val="0"/>
        <w:pageBreakBefore w:val="0"/>
        <w:widowControl w:val="0"/>
        <w:tabs>
          <w:tab w:val="left" w:pos="828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转让</w:t>
      </w:r>
      <w:r>
        <w:rPr>
          <w:rFonts w:hint="eastAsia" w:ascii="仿宋" w:hAnsi="仿宋" w:eastAsia="仿宋" w:cs="仿宋"/>
          <w:color w:val="000000" w:themeColor="text1"/>
          <w:sz w:val="30"/>
          <w:szCs w:val="30"/>
          <w14:textFill>
            <w14:solidFill>
              <w14:schemeClr w14:val="tx1"/>
            </w14:solidFill>
          </w14:textFill>
        </w:rPr>
        <w:t>价款按实际提取量</w:t>
      </w:r>
      <w:r>
        <w:rPr>
          <w:rFonts w:hint="eastAsia" w:ascii="仿宋" w:hAnsi="仿宋" w:eastAsia="仿宋" w:cs="仿宋"/>
          <w:color w:val="000000" w:themeColor="text1"/>
          <w:sz w:val="30"/>
          <w:szCs w:val="30"/>
          <w:lang w:eastAsia="zh-CN"/>
          <w14:textFill>
            <w14:solidFill>
              <w14:schemeClr w14:val="tx1"/>
            </w14:solidFill>
          </w14:textFill>
        </w:rPr>
        <w:t>（设计拟开挖量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剩余未开挖量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结算。</w:t>
      </w:r>
    </w:p>
    <w:p w14:paraId="76FE8FB0">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00B44A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53F01C4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01E454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21C6F71F">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bookmarkStart w:id="0" w:name="_GoBack"/>
      <w:bookmarkEnd w:id="0"/>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05798A5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B25329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78DC79B6">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6A68F16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24B46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2632C6C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12C005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3BD9C99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1C877E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516616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052E8B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3BED05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69B89FD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14:paraId="2DE4DE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603867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w:t>
      </w:r>
    </w:p>
    <w:p w14:paraId="46DC9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711A2"/>
    <w:multiLevelType w:val="singleLevel"/>
    <w:tmpl w:val="CD9711A2"/>
    <w:lvl w:ilvl="0" w:tentative="0">
      <w:start w:val="1"/>
      <w:numFmt w:val="chineseCounting"/>
      <w:suff w:val="nothing"/>
      <w:lvlText w:val="（%1）"/>
      <w:lvlJc w:val="left"/>
      <w:rPr>
        <w:rFonts w:hint="eastAsia"/>
      </w:rPr>
    </w:lvl>
  </w:abstractNum>
  <w:abstractNum w:abstractNumId="1">
    <w:nsid w:val="3113469D"/>
    <w:multiLevelType w:val="singleLevel"/>
    <w:tmpl w:val="3113469D"/>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liMTcwNWY4NjBlY2Q1YmRkYzJiMjI1YWFhNDAifQ=="/>
  </w:docVars>
  <w:rsids>
    <w:rsidRoot w:val="00000000"/>
    <w:rsid w:val="2CD522A4"/>
    <w:rsid w:val="5DC82230"/>
    <w:rsid w:val="7138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Table Text"/>
    <w:basedOn w:val="1"/>
    <w:semiHidden/>
    <w:qFormat/>
    <w:uiPriority w:val="0"/>
    <w:rPr>
      <w:rFonts w:ascii="Times New Roman" w:hAnsi="Times New Roman" w:eastAsia="Times New Roman" w:cs="Times New Roman"/>
      <w:sz w:val="21"/>
      <w:szCs w:val="21"/>
      <w:lang w:val="en-US" w:eastAsia="en-US" w:bidi="ar-SA"/>
    </w:rPr>
  </w:style>
  <w:style w:type="paragraph" w:customStyle="1" w:styleId="8">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2024-10-08T02:53:15Z</dcterms:created>
  <dc:creator>USER</dc:creator>
  <cp:lastModifiedBy>阳明拍卖</cp:lastModifiedBy>
  <dcterms:modified xsi:type="dcterms:W3CDTF">2024-10-08T02:59:49Z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186ACF83335648F2BD8308E15FEE3F32_12</vt:lpwstr>
  </property>
</Properties>
</file>