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9E444">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6C22C299">
      <w:pPr>
        <w:spacing w:line="440" w:lineRule="atLeast"/>
        <w:jc w:val="center"/>
        <w:rPr>
          <w:rFonts w:hint="eastAsia" w:ascii="宋体" w:hAnsi="宋体"/>
          <w:b/>
          <w:color w:val="auto"/>
          <w:sz w:val="52"/>
          <w:szCs w:val="52"/>
        </w:rPr>
      </w:pPr>
    </w:p>
    <w:p w14:paraId="022A3E3B">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38E1E2A9">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08DAB014">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54822FC2">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07C7C87C">
      <w:pPr>
        <w:spacing w:line="440" w:lineRule="atLeast"/>
        <w:jc w:val="center"/>
        <w:rPr>
          <w:rFonts w:hint="eastAsia" w:ascii="宋体" w:hAnsi="宋体"/>
          <w:b/>
          <w:bCs/>
          <w:color w:val="auto"/>
          <w:sz w:val="52"/>
          <w:szCs w:val="52"/>
        </w:rPr>
      </w:pPr>
    </w:p>
    <w:p w14:paraId="79900468">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643" w:leftChars="117" w:right="0" w:rightChars="0" w:hanging="1397" w:hangingChars="580"/>
        <w:textAlignment w:val="auto"/>
        <w:rPr>
          <w:rFonts w:hint="eastAsia" w:ascii="宋体" w:hAnsi="宋体" w:cs="楷体_GB2312"/>
          <w:color w:val="auto"/>
          <w:sz w:val="24"/>
          <w:lang w:eastAsia="zh-CN"/>
        </w:rPr>
      </w:pPr>
      <w:r>
        <w:rPr>
          <w:rFonts w:hint="eastAsia"/>
          <w:b/>
          <w:bCs/>
          <w:color w:val="auto"/>
          <w:sz w:val="24"/>
        </w:rPr>
        <w:t>拍卖会名称</w:t>
      </w:r>
      <w:r>
        <w:rPr>
          <w:rFonts w:hint="eastAsia" w:ascii="宋体" w:hAnsi="宋体" w:cs="楷体_GB2312"/>
          <w:color w:val="auto"/>
          <w:sz w:val="24"/>
        </w:rPr>
        <w:t>：</w:t>
      </w:r>
      <w:r>
        <w:rPr>
          <w:rFonts w:hint="eastAsia" w:ascii="宋体" w:hAnsi="宋体" w:cs="楷体_GB2312"/>
          <w:color w:val="auto"/>
          <w:sz w:val="24"/>
          <w:lang w:eastAsia="zh-CN"/>
        </w:rPr>
        <w:t>余姚经济开发区西南园区配套道路(一期)工程茶山路堑开挖段(K0+650-K1+000)</w:t>
      </w:r>
    </w:p>
    <w:p w14:paraId="0D9CE30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676" w:leftChars="798" w:right="0" w:rightChars="0" w:firstLine="55" w:firstLineChars="23"/>
        <w:textAlignment w:val="auto"/>
        <w:rPr>
          <w:rFonts w:hint="eastAsia" w:ascii="宋体" w:hAnsi="宋体" w:cs="宋体"/>
          <w:color w:val="auto"/>
          <w:kern w:val="0"/>
          <w:szCs w:val="21"/>
        </w:rPr>
      </w:pPr>
      <w:r>
        <w:rPr>
          <w:rFonts w:hint="eastAsia" w:ascii="宋体" w:hAnsi="宋体" w:cs="楷体_GB2312"/>
          <w:color w:val="auto"/>
          <w:sz w:val="24"/>
          <w:lang w:eastAsia="zh-CN"/>
        </w:rPr>
        <w:t>多余土石料</w:t>
      </w:r>
      <w:r>
        <w:rPr>
          <w:rFonts w:hint="eastAsia" w:ascii="宋体" w:hAnsi="宋体" w:cs="宋体"/>
          <w:color w:val="auto"/>
          <w:kern w:val="0"/>
          <w:sz w:val="24"/>
        </w:rPr>
        <w:t>拍卖会</w:t>
      </w:r>
    </w:p>
    <w:p w14:paraId="7FC2A3BD">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1643" w:leftChars="117" w:right="0" w:rightChars="0" w:hanging="1397" w:hangingChars="580"/>
        <w:textAlignment w:val="auto"/>
        <w:rPr>
          <w:rFonts w:hint="eastAsia" w:ascii="宋体" w:hAnsi="宋体"/>
          <w:b w:val="0"/>
          <w:bCs/>
          <w:color w:val="auto"/>
          <w:sz w:val="24"/>
          <w:lang w:eastAsia="zh-CN"/>
        </w:rPr>
      </w:pPr>
      <w:r>
        <w:rPr>
          <w:rFonts w:hint="eastAsia" w:ascii="宋体" w:hAnsi="宋体"/>
          <w:b/>
          <w:color w:val="auto"/>
          <w:sz w:val="24"/>
        </w:rPr>
        <w:t>拍卖标的：</w:t>
      </w:r>
      <w:r>
        <w:rPr>
          <w:rFonts w:hint="eastAsia" w:ascii="宋体" w:hAnsi="宋体"/>
          <w:b w:val="0"/>
          <w:bCs/>
          <w:color w:val="auto"/>
          <w:sz w:val="24"/>
          <w:lang w:eastAsia="zh-CN"/>
        </w:rPr>
        <w:t>余姚经济开发区西南园区配套道路(一期)工程茶山路堑开挖段(K0+650-K1+000)多</w:t>
      </w:r>
    </w:p>
    <w:p w14:paraId="59A3D47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right="0" w:rightChars="0" w:firstLine="1440" w:firstLineChars="600"/>
        <w:textAlignment w:val="auto"/>
        <w:rPr>
          <w:rFonts w:hint="eastAsia" w:ascii="宋体" w:hAnsi="宋体" w:eastAsia="宋体" w:cs="宋体"/>
          <w:color w:val="auto"/>
          <w:kern w:val="0"/>
          <w:sz w:val="24"/>
          <w:lang w:eastAsia="zh-CN"/>
        </w:rPr>
      </w:pPr>
      <w:r>
        <w:rPr>
          <w:rFonts w:hint="eastAsia" w:ascii="宋体" w:hAnsi="宋体"/>
          <w:b w:val="0"/>
          <w:bCs/>
          <w:color w:val="auto"/>
          <w:sz w:val="24"/>
          <w:lang w:eastAsia="zh-CN"/>
        </w:rPr>
        <w:t>余土石料</w:t>
      </w:r>
    </w:p>
    <w:p w14:paraId="2D84B8E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cs="宋体"/>
          <w:color w:val="auto"/>
          <w:kern w:val="0"/>
          <w:sz w:val="24"/>
          <w:lang w:eastAsia="zh-CN"/>
        </w:rPr>
      </w:pPr>
      <w:r>
        <w:rPr>
          <w:rFonts w:hint="eastAsia" w:ascii="宋体" w:hAnsi="宋体" w:cs="宋体"/>
          <w:b/>
          <w:color w:val="auto"/>
          <w:kern w:val="0"/>
          <w:sz w:val="24"/>
        </w:rPr>
        <w:t>拍卖</w:t>
      </w:r>
      <w:r>
        <w:rPr>
          <w:rFonts w:hint="eastAsia" w:ascii="宋体" w:hAnsi="宋体" w:cs="宋体"/>
          <w:b/>
          <w:color w:val="auto"/>
          <w:kern w:val="0"/>
          <w:sz w:val="24"/>
          <w:lang w:eastAsia="zh-CN"/>
        </w:rPr>
        <w:t>会</w:t>
      </w:r>
      <w:r>
        <w:rPr>
          <w:rFonts w:hint="eastAsia" w:ascii="宋体" w:hAnsi="宋体" w:cs="宋体"/>
          <w:b/>
          <w:color w:val="auto"/>
          <w:kern w:val="0"/>
          <w:sz w:val="24"/>
        </w:rPr>
        <w:t>时间：</w:t>
      </w:r>
      <w:r>
        <w:rPr>
          <w:rFonts w:hint="eastAsia" w:ascii="宋体" w:hAnsi="宋体" w:cs="宋体"/>
          <w:color w:val="auto"/>
          <w:kern w:val="0"/>
          <w:sz w:val="24"/>
          <w:lang w:eastAsia="zh-CN"/>
        </w:rPr>
        <w:t>2024</w:t>
      </w:r>
      <w:r>
        <w:rPr>
          <w:rFonts w:hint="eastAsia" w:ascii="宋体" w:hAnsi="宋体" w:cs="宋体"/>
          <w:color w:val="auto"/>
          <w:kern w:val="0"/>
          <w:sz w:val="24"/>
        </w:rPr>
        <w:t>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18</w:t>
      </w:r>
      <w:r>
        <w:rPr>
          <w:rFonts w:hint="eastAsia" w:ascii="宋体" w:hAnsi="宋体" w:cs="宋体"/>
          <w:color w:val="auto"/>
          <w:kern w:val="0"/>
          <w:sz w:val="24"/>
        </w:rPr>
        <w:t>日上午</w:t>
      </w:r>
      <w:r>
        <w:rPr>
          <w:rFonts w:hint="eastAsia" w:ascii="宋体" w:hAnsi="宋体" w:cs="宋体"/>
          <w:color w:val="auto"/>
          <w:kern w:val="0"/>
          <w:sz w:val="24"/>
          <w:lang w:val="en-US" w:eastAsia="zh-CN"/>
        </w:rPr>
        <w:t>9</w:t>
      </w:r>
      <w:r>
        <w:rPr>
          <w:rFonts w:hint="eastAsia" w:ascii="宋体" w:hAnsi="宋体" w:cs="宋体"/>
          <w:color w:val="auto"/>
          <w:kern w:val="0"/>
          <w:sz w:val="24"/>
          <w:lang w:eastAsia="zh-CN"/>
        </w:rPr>
        <w:t>时</w:t>
      </w:r>
    </w:p>
    <w:p w14:paraId="1AE78AF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eastAsia="宋体" w:cs="宋体"/>
          <w:color w:val="auto"/>
          <w:kern w:val="0"/>
          <w:sz w:val="24"/>
          <w:lang w:eastAsia="zh-CN"/>
        </w:rPr>
      </w:pPr>
      <w:r>
        <w:rPr>
          <w:rFonts w:hint="eastAsia" w:ascii="宋体" w:hAnsi="宋体" w:eastAsia="宋体" w:cs="宋体"/>
          <w:b/>
          <w:color w:val="auto"/>
          <w:kern w:val="0"/>
          <w:sz w:val="24"/>
          <w:lang w:eastAsia="zh-CN"/>
        </w:rPr>
        <w:t>拍卖会地点：</w:t>
      </w:r>
      <w:r>
        <w:rPr>
          <w:rFonts w:hint="eastAsia" w:ascii="宋体" w:hAnsi="宋体" w:eastAsia="宋体" w:cs="宋体"/>
          <w:b w:val="0"/>
          <w:bCs/>
          <w:color w:val="auto"/>
          <w:kern w:val="0"/>
          <w:sz w:val="24"/>
          <w:highlight w:val="none"/>
          <w:lang w:eastAsia="zh-CN"/>
        </w:rPr>
        <w:t>余姚市政务服务中心（谭家岭东路2号）4楼开标室&lt;1&gt;</w:t>
      </w:r>
    </w:p>
    <w:p w14:paraId="3F45B594">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241" w:firstLineChars="100"/>
        <w:textAlignment w:val="auto"/>
        <w:rPr>
          <w:rFonts w:hint="eastAsia" w:ascii="宋体" w:hAnsi="宋体" w:cs="宋体"/>
          <w:b w:val="0"/>
          <w:bCs/>
          <w:color w:val="auto"/>
          <w:kern w:val="0"/>
          <w:sz w:val="24"/>
          <w:u w:val="none"/>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现场拍卖</w:t>
      </w:r>
    </w:p>
    <w:p w14:paraId="2E8C5FA9">
      <w:pPr>
        <w:pStyle w:val="2"/>
        <w:rPr>
          <w:rFonts w:hint="eastAsia"/>
          <w:lang w:eastAsia="zh-CN"/>
        </w:rPr>
      </w:pPr>
    </w:p>
    <w:p w14:paraId="38299279">
      <w:pPr>
        <w:spacing w:after="93" w:afterLines="30" w:line="500" w:lineRule="exact"/>
        <w:ind w:firstLine="283" w:firstLineChars="118"/>
        <w:rPr>
          <w:rFonts w:ascii="宋体" w:hAnsi="宋体"/>
          <w:color w:val="auto"/>
          <w:sz w:val="24"/>
        </w:rPr>
      </w:pPr>
      <w:r>
        <w:rPr>
          <w:rFonts w:hint="eastAsia" w:ascii="宋体" w:hAnsi="宋体"/>
          <w:color w:val="auto"/>
          <w:sz w:val="24"/>
        </w:rPr>
        <w:t>公司地址：浙江省余姚市舜水北路16号</w:t>
      </w:r>
    </w:p>
    <w:p w14:paraId="5C08C103">
      <w:pPr>
        <w:spacing w:after="93" w:afterLines="30" w:line="500" w:lineRule="exact"/>
        <w:ind w:firstLine="283" w:firstLineChars="118"/>
        <w:rPr>
          <w:rFonts w:hint="eastAsia" w:ascii="宋体" w:hAnsi="宋体"/>
          <w:b/>
          <w:color w:val="auto"/>
          <w:sz w:val="44"/>
          <w:szCs w:val="44"/>
        </w:rPr>
      </w:pPr>
      <w:r>
        <w:rPr>
          <w:rFonts w:hint="eastAsia" w:ascii="宋体" w:hAnsi="宋体"/>
          <w:color w:val="auto"/>
          <w:sz w:val="24"/>
        </w:rPr>
        <w:t>公司电话：0574-62651915</w:t>
      </w:r>
      <w:r>
        <w:rPr>
          <w:rFonts w:hint="eastAsia" w:ascii="宋体" w:hAnsi="宋体"/>
          <w:color w:val="auto"/>
          <w:sz w:val="24"/>
          <w:lang w:eastAsia="zh-CN"/>
        </w:rPr>
        <w:t>、</w:t>
      </w:r>
      <w:r>
        <w:rPr>
          <w:rFonts w:hint="eastAsia" w:ascii="宋体" w:hAnsi="宋体"/>
          <w:color w:val="auto"/>
          <w:sz w:val="24"/>
        </w:rPr>
        <w:t>62724638       传真：0574-62651961</w:t>
      </w:r>
    </w:p>
    <w:p w14:paraId="130A637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color w:val="auto"/>
          <w:sz w:val="44"/>
          <w:szCs w:val="44"/>
        </w:rPr>
      </w:pPr>
    </w:p>
    <w:p w14:paraId="282973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3B85F433">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2F29C55A">
      <w:pPr>
        <w:keepNext w:val="0"/>
        <w:keepLines w:val="0"/>
        <w:pageBreakBefore w:val="0"/>
        <w:widowControl w:val="0"/>
        <w:kinsoku/>
        <w:wordWrap/>
        <w:overflowPunct/>
        <w:topLinePunct w:val="0"/>
        <w:autoSpaceDE/>
        <w:autoSpaceDN/>
        <w:bidi w:val="0"/>
        <w:adjustRightInd/>
        <w:snapToGrid/>
        <w:spacing w:line="46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2823F32E">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308954E4">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7F419943">
      <w:pPr>
        <w:keepNext w:val="0"/>
        <w:keepLines w:val="0"/>
        <w:pageBreakBefore w:val="0"/>
        <w:widowControl w:val="0"/>
        <w:kinsoku/>
        <w:wordWrap/>
        <w:overflowPunct/>
        <w:topLinePunct w:val="0"/>
        <w:autoSpaceDE/>
        <w:autoSpaceDN/>
        <w:bidi w:val="0"/>
        <w:adjustRightInd/>
        <w:snapToGrid/>
        <w:spacing w:before="157" w:beforeLines="50" w:after="156" w:afterLines="50" w:line="46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拍卖标的</w:t>
      </w:r>
    </w:p>
    <w:p w14:paraId="76EFDBA7">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pPr>
      <w:r>
        <w:rPr>
          <w:rFonts w:hint="eastAsia" w:ascii="宋体" w:hAnsi="宋体"/>
          <w:b/>
          <w:color w:val="auto"/>
          <w:sz w:val="24"/>
          <w:highlight w:val="none"/>
        </w:rPr>
        <w:t>第四条  拍卖标的</w:t>
      </w:r>
      <w:r>
        <w:rPr>
          <w:rFonts w:hint="eastAsia" w:ascii="宋体" w:hAnsi="宋体"/>
          <w:b/>
          <w:color w:val="auto"/>
          <w:sz w:val="24"/>
          <w:highlight w:val="none"/>
          <w:lang w:eastAsia="zh-CN"/>
        </w:rPr>
        <w:t>：</w:t>
      </w:r>
      <w:r>
        <w:rPr>
          <w:rFonts w:hint="eastAsia" w:ascii="宋体" w:hAnsi="宋体" w:eastAsia="宋体" w:cs="宋体"/>
          <w:b w:val="0"/>
          <w:bCs/>
          <w:color w:val="auto"/>
          <w:kern w:val="0"/>
          <w:sz w:val="24"/>
          <w:szCs w:val="24"/>
          <w:highlight w:val="none"/>
          <w:lang w:eastAsia="zh-CN"/>
        </w:rPr>
        <w:t>余姚经济开发区西南园区配套道路(一期)工程茶山路堑开挖段(K0+650-K1+000)多余土石料（以下简称“标的物”），项目区位于余姚市城区中心南侧 190°方位直距约 2.9km处，中心地理坐标为东经 121 °14 ′56″，北纬 30 °01 ′35 ″，行政隶属余姚市兰江街道。开挖区面积：约11865平方米，具体坐标范围详见下表。工程期限：具体以工程实际开挖进度为准。设计拟开挖量：4.6万立方米（约9.83万吨），其中风化层开挖量为3.68万立方米（约8.17万吨），残坡积土体量为0.92万立方米（约1.66万吨）。起拍价：人民币100.86万元(不含税）；竞买保证金：人民币20万元。</w:t>
      </w:r>
    </w:p>
    <w:p w14:paraId="19D8390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60" w:lineRule="exact"/>
        <w:ind w:firstLine="482" w:firstLineChars="20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开挖区红线控制性拐点坐标表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654"/>
        <w:gridCol w:w="1654"/>
        <w:gridCol w:w="950"/>
        <w:gridCol w:w="1655"/>
        <w:gridCol w:w="1658"/>
      </w:tblGrid>
      <w:tr w14:paraId="38BA2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exact"/>
          <w:jc w:val="center"/>
        </w:trPr>
        <w:tc>
          <w:tcPr>
            <w:tcW w:w="956" w:type="dxa"/>
            <w:noWrap w:val="0"/>
            <w:vAlign w:val="center"/>
          </w:tcPr>
          <w:p w14:paraId="38C5985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拐点号</w:t>
            </w:r>
          </w:p>
        </w:tc>
        <w:tc>
          <w:tcPr>
            <w:tcW w:w="1654" w:type="dxa"/>
            <w:noWrap w:val="0"/>
            <w:vAlign w:val="center"/>
          </w:tcPr>
          <w:p w14:paraId="483FD7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w:t>
            </w:r>
          </w:p>
        </w:tc>
        <w:tc>
          <w:tcPr>
            <w:tcW w:w="1654" w:type="dxa"/>
            <w:noWrap w:val="0"/>
            <w:vAlign w:val="center"/>
          </w:tcPr>
          <w:p w14:paraId="5E2D12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w:t>
            </w:r>
          </w:p>
        </w:tc>
        <w:tc>
          <w:tcPr>
            <w:tcW w:w="950" w:type="dxa"/>
            <w:noWrap w:val="0"/>
            <w:vAlign w:val="center"/>
          </w:tcPr>
          <w:p w14:paraId="274B0ED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拐点号</w:t>
            </w:r>
          </w:p>
        </w:tc>
        <w:tc>
          <w:tcPr>
            <w:tcW w:w="1655" w:type="dxa"/>
            <w:noWrap w:val="0"/>
            <w:vAlign w:val="center"/>
          </w:tcPr>
          <w:p w14:paraId="55CEC3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X</w:t>
            </w:r>
          </w:p>
        </w:tc>
        <w:tc>
          <w:tcPr>
            <w:tcW w:w="1658" w:type="dxa"/>
            <w:noWrap w:val="0"/>
            <w:vAlign w:val="center"/>
          </w:tcPr>
          <w:p w14:paraId="571141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Y</w:t>
            </w:r>
          </w:p>
        </w:tc>
      </w:tr>
      <w:tr w14:paraId="26A5A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07A350C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w:t>
            </w:r>
          </w:p>
        </w:tc>
        <w:tc>
          <w:tcPr>
            <w:tcW w:w="1654" w:type="dxa"/>
            <w:noWrap w:val="0"/>
            <w:vAlign w:val="center"/>
          </w:tcPr>
          <w:p w14:paraId="58535DC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265548.66</w:t>
            </w:r>
          </w:p>
        </w:tc>
        <w:tc>
          <w:tcPr>
            <w:tcW w:w="1654" w:type="dxa"/>
            <w:noWrap w:val="0"/>
            <w:vAlign w:val="center"/>
          </w:tcPr>
          <w:p w14:paraId="50EBFD1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121735.71</w:t>
            </w:r>
          </w:p>
        </w:tc>
        <w:tc>
          <w:tcPr>
            <w:tcW w:w="950" w:type="dxa"/>
            <w:noWrap w:val="0"/>
            <w:vAlign w:val="center"/>
          </w:tcPr>
          <w:p w14:paraId="500F72B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J12</w:t>
            </w:r>
          </w:p>
        </w:tc>
        <w:tc>
          <w:tcPr>
            <w:tcW w:w="1655" w:type="dxa"/>
            <w:noWrap w:val="0"/>
            <w:vAlign w:val="center"/>
          </w:tcPr>
          <w:p w14:paraId="4687C60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265715.60</w:t>
            </w:r>
          </w:p>
        </w:tc>
        <w:tc>
          <w:tcPr>
            <w:tcW w:w="1658" w:type="dxa"/>
            <w:noWrap w:val="0"/>
            <w:vAlign w:val="center"/>
          </w:tcPr>
          <w:p w14:paraId="3DC1B71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121688.20</w:t>
            </w:r>
          </w:p>
        </w:tc>
      </w:tr>
      <w:tr w14:paraId="674C4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7751CF8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w:t>
            </w:r>
          </w:p>
        </w:tc>
        <w:tc>
          <w:tcPr>
            <w:tcW w:w="1654" w:type="dxa"/>
            <w:noWrap w:val="0"/>
            <w:vAlign w:val="center"/>
          </w:tcPr>
          <w:p w14:paraId="7CF8199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265737.61</w:t>
            </w:r>
          </w:p>
        </w:tc>
        <w:tc>
          <w:tcPr>
            <w:tcW w:w="1654" w:type="dxa"/>
            <w:noWrap w:val="0"/>
            <w:vAlign w:val="center"/>
          </w:tcPr>
          <w:p w14:paraId="7C42358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121722.66</w:t>
            </w:r>
          </w:p>
        </w:tc>
        <w:tc>
          <w:tcPr>
            <w:tcW w:w="950" w:type="dxa"/>
            <w:noWrap w:val="0"/>
            <w:vAlign w:val="center"/>
          </w:tcPr>
          <w:p w14:paraId="537E2D4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J13</w:t>
            </w:r>
          </w:p>
        </w:tc>
        <w:tc>
          <w:tcPr>
            <w:tcW w:w="1655" w:type="dxa"/>
            <w:noWrap w:val="0"/>
            <w:vAlign w:val="center"/>
          </w:tcPr>
          <w:p w14:paraId="31BE9F7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265695.64</w:t>
            </w:r>
          </w:p>
        </w:tc>
        <w:tc>
          <w:tcPr>
            <w:tcW w:w="1658" w:type="dxa"/>
            <w:noWrap w:val="0"/>
            <w:vAlign w:val="center"/>
          </w:tcPr>
          <w:p w14:paraId="4325D84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121689.40</w:t>
            </w:r>
          </w:p>
        </w:tc>
      </w:tr>
      <w:tr w14:paraId="68918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72B287E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J3</w:t>
            </w:r>
          </w:p>
        </w:tc>
        <w:tc>
          <w:tcPr>
            <w:tcW w:w="1654" w:type="dxa"/>
            <w:noWrap w:val="0"/>
            <w:vAlign w:val="center"/>
          </w:tcPr>
          <w:p w14:paraId="6364ADF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265882.70</w:t>
            </w:r>
          </w:p>
        </w:tc>
        <w:tc>
          <w:tcPr>
            <w:tcW w:w="1654" w:type="dxa"/>
            <w:noWrap w:val="0"/>
            <w:vAlign w:val="center"/>
          </w:tcPr>
          <w:p w14:paraId="25897D5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121712.07</w:t>
            </w:r>
          </w:p>
        </w:tc>
        <w:tc>
          <w:tcPr>
            <w:tcW w:w="950" w:type="dxa"/>
            <w:noWrap w:val="0"/>
            <w:vAlign w:val="center"/>
          </w:tcPr>
          <w:p w14:paraId="725E0A2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J14</w:t>
            </w:r>
          </w:p>
        </w:tc>
        <w:tc>
          <w:tcPr>
            <w:tcW w:w="1655" w:type="dxa"/>
            <w:noWrap w:val="0"/>
            <w:vAlign w:val="center"/>
          </w:tcPr>
          <w:p w14:paraId="0F8D1F5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265675.76</w:t>
            </w:r>
          </w:p>
        </w:tc>
        <w:tc>
          <w:tcPr>
            <w:tcW w:w="1658" w:type="dxa"/>
            <w:noWrap w:val="0"/>
            <w:vAlign w:val="center"/>
          </w:tcPr>
          <w:p w14:paraId="144FD53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121691.80</w:t>
            </w:r>
          </w:p>
        </w:tc>
      </w:tr>
      <w:tr w14:paraId="0FBC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6584BD8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J4</w:t>
            </w:r>
          </w:p>
        </w:tc>
        <w:tc>
          <w:tcPr>
            <w:tcW w:w="1654" w:type="dxa"/>
            <w:noWrap w:val="0"/>
            <w:vAlign w:val="center"/>
          </w:tcPr>
          <w:p w14:paraId="0CCD10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265876.18</w:t>
            </w:r>
          </w:p>
        </w:tc>
        <w:tc>
          <w:tcPr>
            <w:tcW w:w="1654" w:type="dxa"/>
            <w:noWrap w:val="0"/>
            <w:vAlign w:val="center"/>
          </w:tcPr>
          <w:p w14:paraId="5C91F8A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121691.00</w:t>
            </w:r>
          </w:p>
        </w:tc>
        <w:tc>
          <w:tcPr>
            <w:tcW w:w="950" w:type="dxa"/>
            <w:noWrap w:val="0"/>
            <w:vAlign w:val="center"/>
          </w:tcPr>
          <w:p w14:paraId="1406D10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J15</w:t>
            </w:r>
          </w:p>
        </w:tc>
        <w:tc>
          <w:tcPr>
            <w:tcW w:w="1655" w:type="dxa"/>
            <w:noWrap w:val="0"/>
            <w:vAlign w:val="center"/>
          </w:tcPr>
          <w:p w14:paraId="469E71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265655.76</w:t>
            </w:r>
          </w:p>
        </w:tc>
        <w:tc>
          <w:tcPr>
            <w:tcW w:w="1658" w:type="dxa"/>
            <w:noWrap w:val="0"/>
            <w:vAlign w:val="center"/>
          </w:tcPr>
          <w:p w14:paraId="3E72EC8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121692.59</w:t>
            </w:r>
          </w:p>
        </w:tc>
      </w:tr>
      <w:tr w14:paraId="7667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5F86CA2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J5</w:t>
            </w:r>
          </w:p>
        </w:tc>
        <w:tc>
          <w:tcPr>
            <w:tcW w:w="1654" w:type="dxa"/>
            <w:noWrap w:val="0"/>
            <w:vAlign w:val="center"/>
          </w:tcPr>
          <w:p w14:paraId="52C0146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265855.73</w:t>
            </w:r>
          </w:p>
        </w:tc>
        <w:tc>
          <w:tcPr>
            <w:tcW w:w="1654" w:type="dxa"/>
            <w:noWrap w:val="0"/>
            <w:vAlign w:val="center"/>
          </w:tcPr>
          <w:p w14:paraId="2155157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121685.13</w:t>
            </w:r>
          </w:p>
        </w:tc>
        <w:tc>
          <w:tcPr>
            <w:tcW w:w="950" w:type="dxa"/>
            <w:noWrap w:val="0"/>
            <w:vAlign w:val="center"/>
          </w:tcPr>
          <w:p w14:paraId="035C20C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J16</w:t>
            </w:r>
          </w:p>
        </w:tc>
        <w:tc>
          <w:tcPr>
            <w:tcW w:w="1655" w:type="dxa"/>
            <w:noWrap w:val="0"/>
            <w:vAlign w:val="center"/>
          </w:tcPr>
          <w:p w14:paraId="026D5B9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265636.01</w:t>
            </w:r>
          </w:p>
        </w:tc>
        <w:tc>
          <w:tcPr>
            <w:tcW w:w="1658" w:type="dxa"/>
            <w:noWrap w:val="0"/>
            <w:vAlign w:val="center"/>
          </w:tcPr>
          <w:p w14:paraId="7A15DA3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121696.77</w:t>
            </w:r>
          </w:p>
        </w:tc>
      </w:tr>
      <w:tr w14:paraId="33E5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379E670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J6</w:t>
            </w:r>
          </w:p>
        </w:tc>
        <w:tc>
          <w:tcPr>
            <w:tcW w:w="1654" w:type="dxa"/>
            <w:noWrap w:val="0"/>
            <w:vAlign w:val="center"/>
          </w:tcPr>
          <w:p w14:paraId="44DFE94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265835.34</w:t>
            </w:r>
          </w:p>
        </w:tc>
        <w:tc>
          <w:tcPr>
            <w:tcW w:w="1654" w:type="dxa"/>
            <w:noWrap w:val="0"/>
            <w:vAlign w:val="center"/>
          </w:tcPr>
          <w:p w14:paraId="533CB40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121680.20</w:t>
            </w:r>
          </w:p>
        </w:tc>
        <w:tc>
          <w:tcPr>
            <w:tcW w:w="950" w:type="dxa"/>
            <w:noWrap w:val="0"/>
            <w:vAlign w:val="center"/>
          </w:tcPr>
          <w:p w14:paraId="133C587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J17</w:t>
            </w:r>
          </w:p>
        </w:tc>
        <w:tc>
          <w:tcPr>
            <w:tcW w:w="1655" w:type="dxa"/>
            <w:noWrap w:val="0"/>
            <w:vAlign w:val="center"/>
          </w:tcPr>
          <w:p w14:paraId="0FE1D38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265616.15</w:t>
            </w:r>
          </w:p>
        </w:tc>
        <w:tc>
          <w:tcPr>
            <w:tcW w:w="1658" w:type="dxa"/>
            <w:noWrap w:val="0"/>
            <w:vAlign w:val="center"/>
          </w:tcPr>
          <w:p w14:paraId="180B8A8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121699.57</w:t>
            </w:r>
          </w:p>
        </w:tc>
      </w:tr>
      <w:tr w14:paraId="3C17A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7DC68DF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J7</w:t>
            </w:r>
          </w:p>
        </w:tc>
        <w:tc>
          <w:tcPr>
            <w:tcW w:w="1654" w:type="dxa"/>
            <w:noWrap w:val="0"/>
            <w:vAlign w:val="center"/>
          </w:tcPr>
          <w:p w14:paraId="2A64450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265814.86</w:t>
            </w:r>
          </w:p>
        </w:tc>
        <w:tc>
          <w:tcPr>
            <w:tcW w:w="1654" w:type="dxa"/>
            <w:noWrap w:val="0"/>
            <w:vAlign w:val="center"/>
          </w:tcPr>
          <w:p w14:paraId="6D9B375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121674.08</w:t>
            </w:r>
          </w:p>
        </w:tc>
        <w:tc>
          <w:tcPr>
            <w:tcW w:w="950" w:type="dxa"/>
            <w:noWrap w:val="0"/>
            <w:vAlign w:val="center"/>
          </w:tcPr>
          <w:p w14:paraId="75A00ED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J18</w:t>
            </w:r>
          </w:p>
        </w:tc>
        <w:tc>
          <w:tcPr>
            <w:tcW w:w="1655" w:type="dxa"/>
            <w:noWrap w:val="0"/>
            <w:vAlign w:val="center"/>
          </w:tcPr>
          <w:p w14:paraId="3E3F6CE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265596.45</w:t>
            </w:r>
          </w:p>
        </w:tc>
        <w:tc>
          <w:tcPr>
            <w:tcW w:w="1658" w:type="dxa"/>
            <w:noWrap w:val="0"/>
            <w:vAlign w:val="center"/>
          </w:tcPr>
          <w:p w14:paraId="6110903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121704.56</w:t>
            </w:r>
          </w:p>
        </w:tc>
      </w:tr>
      <w:tr w14:paraId="5A6B6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622F25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J8</w:t>
            </w:r>
          </w:p>
        </w:tc>
        <w:tc>
          <w:tcPr>
            <w:tcW w:w="1654" w:type="dxa"/>
            <w:noWrap w:val="0"/>
            <w:vAlign w:val="center"/>
          </w:tcPr>
          <w:p w14:paraId="27544D5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265794.30</w:t>
            </w:r>
          </w:p>
        </w:tc>
        <w:tc>
          <w:tcPr>
            <w:tcW w:w="1654" w:type="dxa"/>
            <w:noWrap w:val="0"/>
            <w:vAlign w:val="center"/>
          </w:tcPr>
          <w:p w14:paraId="52A5064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121666.68</w:t>
            </w:r>
          </w:p>
        </w:tc>
        <w:tc>
          <w:tcPr>
            <w:tcW w:w="950" w:type="dxa"/>
            <w:noWrap w:val="0"/>
            <w:vAlign w:val="center"/>
          </w:tcPr>
          <w:p w14:paraId="101549D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J19</w:t>
            </w:r>
          </w:p>
        </w:tc>
        <w:tc>
          <w:tcPr>
            <w:tcW w:w="1655" w:type="dxa"/>
            <w:noWrap w:val="0"/>
            <w:vAlign w:val="center"/>
          </w:tcPr>
          <w:p w14:paraId="3F468DA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265576.63</w:t>
            </w:r>
          </w:p>
        </w:tc>
        <w:tc>
          <w:tcPr>
            <w:tcW w:w="1658" w:type="dxa"/>
            <w:noWrap w:val="0"/>
            <w:vAlign w:val="center"/>
          </w:tcPr>
          <w:p w14:paraId="637BABB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121707.88</w:t>
            </w:r>
          </w:p>
        </w:tc>
      </w:tr>
      <w:tr w14:paraId="37E5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5F9ED38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J9</w:t>
            </w:r>
          </w:p>
        </w:tc>
        <w:tc>
          <w:tcPr>
            <w:tcW w:w="1654" w:type="dxa"/>
            <w:noWrap w:val="0"/>
            <w:vAlign w:val="center"/>
          </w:tcPr>
          <w:p w14:paraId="3C322EA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265774.19</w:t>
            </w:r>
          </w:p>
        </w:tc>
        <w:tc>
          <w:tcPr>
            <w:tcW w:w="1654" w:type="dxa"/>
            <w:noWrap w:val="0"/>
            <w:vAlign w:val="center"/>
          </w:tcPr>
          <w:p w14:paraId="5914DB8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121665.75</w:t>
            </w:r>
          </w:p>
        </w:tc>
        <w:tc>
          <w:tcPr>
            <w:tcW w:w="950" w:type="dxa"/>
            <w:noWrap w:val="0"/>
            <w:vAlign w:val="center"/>
          </w:tcPr>
          <w:p w14:paraId="1C150B1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J20</w:t>
            </w:r>
          </w:p>
        </w:tc>
        <w:tc>
          <w:tcPr>
            <w:tcW w:w="1655" w:type="dxa"/>
            <w:noWrap w:val="0"/>
            <w:vAlign w:val="center"/>
          </w:tcPr>
          <w:p w14:paraId="2BFBF8C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265556.78</w:t>
            </w:r>
          </w:p>
        </w:tc>
        <w:tc>
          <w:tcPr>
            <w:tcW w:w="1658" w:type="dxa"/>
            <w:noWrap w:val="0"/>
            <w:vAlign w:val="center"/>
          </w:tcPr>
          <w:p w14:paraId="214AFA0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121710.76</w:t>
            </w:r>
          </w:p>
        </w:tc>
      </w:tr>
      <w:tr w14:paraId="5E703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11C3722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J10</w:t>
            </w:r>
          </w:p>
        </w:tc>
        <w:tc>
          <w:tcPr>
            <w:tcW w:w="1654" w:type="dxa"/>
            <w:noWrap w:val="0"/>
            <w:vAlign w:val="center"/>
          </w:tcPr>
          <w:p w14:paraId="2190D74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265754.66</w:t>
            </w:r>
          </w:p>
        </w:tc>
        <w:tc>
          <w:tcPr>
            <w:tcW w:w="1654" w:type="dxa"/>
            <w:noWrap w:val="0"/>
            <w:vAlign w:val="center"/>
          </w:tcPr>
          <w:p w14:paraId="5422C80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121673.18</w:t>
            </w:r>
          </w:p>
        </w:tc>
        <w:tc>
          <w:tcPr>
            <w:tcW w:w="950" w:type="dxa"/>
            <w:noWrap w:val="0"/>
            <w:vAlign w:val="center"/>
          </w:tcPr>
          <w:p w14:paraId="3E326A9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J21</w:t>
            </w:r>
          </w:p>
        </w:tc>
        <w:tc>
          <w:tcPr>
            <w:tcW w:w="1655" w:type="dxa"/>
            <w:noWrap w:val="0"/>
            <w:vAlign w:val="center"/>
          </w:tcPr>
          <w:p w14:paraId="6EA5FA4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265550.68</w:t>
            </w:r>
          </w:p>
        </w:tc>
        <w:tc>
          <w:tcPr>
            <w:tcW w:w="1658" w:type="dxa"/>
            <w:noWrap w:val="0"/>
            <w:vAlign w:val="center"/>
          </w:tcPr>
          <w:p w14:paraId="4B1C0F4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121712.18</w:t>
            </w:r>
          </w:p>
        </w:tc>
      </w:tr>
      <w:tr w14:paraId="7F91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jc w:val="center"/>
        </w:trPr>
        <w:tc>
          <w:tcPr>
            <w:tcW w:w="956" w:type="dxa"/>
            <w:noWrap w:val="0"/>
            <w:vAlign w:val="center"/>
          </w:tcPr>
          <w:p w14:paraId="5EA9B94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J11</w:t>
            </w:r>
          </w:p>
        </w:tc>
        <w:tc>
          <w:tcPr>
            <w:tcW w:w="1654" w:type="dxa"/>
            <w:noWrap w:val="0"/>
            <w:vAlign w:val="center"/>
          </w:tcPr>
          <w:p w14:paraId="0181FE5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265735.59</w:t>
            </w:r>
          </w:p>
        </w:tc>
        <w:tc>
          <w:tcPr>
            <w:tcW w:w="1654" w:type="dxa"/>
            <w:noWrap w:val="0"/>
            <w:vAlign w:val="center"/>
          </w:tcPr>
          <w:p w14:paraId="658A55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121687.26</w:t>
            </w:r>
          </w:p>
        </w:tc>
        <w:tc>
          <w:tcPr>
            <w:tcW w:w="950" w:type="dxa"/>
            <w:noWrap w:val="0"/>
            <w:vAlign w:val="center"/>
          </w:tcPr>
          <w:p w14:paraId="1D9F261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J22</w:t>
            </w:r>
          </w:p>
        </w:tc>
        <w:tc>
          <w:tcPr>
            <w:tcW w:w="1655" w:type="dxa"/>
            <w:noWrap w:val="0"/>
            <w:vAlign w:val="center"/>
          </w:tcPr>
          <w:p w14:paraId="05B9FEE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265547.78</w:t>
            </w:r>
          </w:p>
        </w:tc>
        <w:tc>
          <w:tcPr>
            <w:tcW w:w="1658" w:type="dxa"/>
            <w:noWrap w:val="0"/>
            <w:vAlign w:val="center"/>
          </w:tcPr>
          <w:p w14:paraId="5FFBE58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121719.08</w:t>
            </w:r>
          </w:p>
        </w:tc>
      </w:tr>
      <w:tr w14:paraId="340A0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exact"/>
          <w:jc w:val="center"/>
        </w:trPr>
        <w:tc>
          <w:tcPr>
            <w:tcW w:w="8527" w:type="dxa"/>
            <w:gridSpan w:val="6"/>
            <w:noWrap w:val="0"/>
            <w:vAlign w:val="center"/>
          </w:tcPr>
          <w:p w14:paraId="5A0F524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（宁波市 2000 坐标系，1985 国家高程基准）</w:t>
            </w:r>
          </w:p>
        </w:tc>
      </w:tr>
    </w:tbl>
    <w:p w14:paraId="7027ACE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b/>
          <w:kern w:val="0"/>
          <w:sz w:val="24"/>
          <w:szCs w:val="24"/>
        </w:rPr>
        <w:t>注：</w:t>
      </w:r>
      <w:r>
        <w:rPr>
          <w:rFonts w:hint="eastAsia" w:ascii="宋体" w:hAnsi="宋体" w:cs="宋体"/>
          <w:b w:val="0"/>
          <w:bCs/>
          <w:color w:val="000000" w:themeColor="text1"/>
          <w:kern w:val="0"/>
          <w:sz w:val="24"/>
          <w:szCs w:val="24"/>
          <w:lang w:eastAsia="zh-CN"/>
          <w14:textFill>
            <w14:solidFill>
              <w14:schemeClr w14:val="tx1"/>
            </w14:solidFill>
          </w14:textFill>
        </w:rPr>
        <w:t>（一）</w:t>
      </w:r>
      <w:r>
        <w:rPr>
          <w:rFonts w:hint="eastAsia" w:ascii="宋体" w:hAnsi="宋体" w:eastAsia="宋体" w:cs="宋体"/>
          <w:color w:val="000000" w:themeColor="text1"/>
          <w:kern w:val="0"/>
          <w:sz w:val="24"/>
          <w:szCs w:val="24"/>
          <w:lang w:val="en-US" w:eastAsia="zh-CN"/>
          <w14:textFill>
            <w14:solidFill>
              <w14:schemeClr w14:val="tx1"/>
            </w14:solidFill>
          </w14:textFill>
        </w:rPr>
        <w:t>根据《土石料量估算报告》（ZGK14-B2024-070)，开挖区岩石以固结程度极差的砂砾岩为主，泥砂质胶结物极易风化剥蚀，遇水冲刷易流失，抗压强度均较低，可作宕碴综合利用。</w:t>
      </w:r>
    </w:p>
    <w:p w14:paraId="33B55C9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360" w:firstLineChars="15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lang w:eastAsia="zh-CN"/>
        </w:rPr>
        <w:t>标的物以实物现状为准，委托双方不承担拍卖标的的瑕疵担保责任。竞买人在拍卖前需自行现场踏勘、测算和核实拍卖标的，自行评估并承担相应的风险。一旦报名参与竞买，即视为对拍卖标的一切现状及价格的认可，愿意承担法律责任，并且不得以任何理由提出退还标的物或拒付拍卖成交款及其他费用。</w:t>
      </w:r>
    </w:p>
    <w:p w14:paraId="6B7D8C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360" w:firstLineChars="150"/>
        <w:jc w:val="left"/>
        <w:textAlignment w:val="auto"/>
        <w:rPr>
          <w:rFonts w:hint="eastAsia" w:ascii="宋体" w:hAnsi="宋体" w:eastAsia="宋体" w:cs="宋体"/>
          <w:strike w:val="0"/>
          <w:dstrike w:val="0"/>
          <w:kern w:val="0"/>
          <w:sz w:val="24"/>
          <w:szCs w:val="24"/>
          <w:lang w:eastAsia="zh-CN"/>
        </w:rPr>
      </w:pPr>
      <w:r>
        <w:rPr>
          <w:rFonts w:hint="eastAsia" w:ascii="宋体" w:hAnsi="宋体" w:cs="宋体"/>
          <w:strike w:val="0"/>
          <w:dstrike w:val="0"/>
          <w:kern w:val="0"/>
          <w:sz w:val="24"/>
          <w:szCs w:val="24"/>
          <w:lang w:eastAsia="zh-CN"/>
        </w:rPr>
        <w:t>（三）</w:t>
      </w:r>
      <w:r>
        <w:rPr>
          <w:rFonts w:hint="eastAsia" w:ascii="宋体" w:hAnsi="宋体" w:eastAsia="宋体" w:cs="宋体"/>
          <w:strike w:val="0"/>
          <w:dstrike w:val="0"/>
          <w:kern w:val="0"/>
          <w:sz w:val="24"/>
          <w:szCs w:val="24"/>
        </w:rPr>
        <w:t>拍卖时的起拍价和成交价均为裸价，不包含买受人在提取过程中产生的装卸、税费、生产管理成本、设备等一切费用，以及买受佣金。</w:t>
      </w:r>
      <w:r>
        <w:rPr>
          <w:rFonts w:hint="eastAsia" w:ascii="宋体" w:hAnsi="宋体" w:eastAsia="宋体" w:cs="宋体"/>
          <w:strike w:val="0"/>
          <w:dstrike w:val="0"/>
          <w:kern w:val="0"/>
          <w:sz w:val="24"/>
          <w:szCs w:val="24"/>
          <w:lang w:eastAsia="zh-CN"/>
        </w:rPr>
        <w:t>上述费用全部由买受人承担。</w:t>
      </w:r>
    </w:p>
    <w:p w14:paraId="74D98EE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firstLine="360" w:firstLineChars="150"/>
        <w:jc w:val="left"/>
        <w:textAlignment w:val="auto"/>
        <w:rPr>
          <w:rFonts w:hint="eastAsia" w:ascii="宋体" w:hAnsi="宋体" w:eastAsia="宋体" w:cs="宋体"/>
          <w:color w:val="auto"/>
          <w:sz w:val="24"/>
          <w:highlight w:val="none"/>
          <w:lang w:eastAsia="zh-CN"/>
        </w:rPr>
      </w:pPr>
      <w:r>
        <w:rPr>
          <w:rFonts w:hint="eastAsia" w:ascii="宋体" w:hAnsi="宋体" w:cs="宋体"/>
          <w:strike w:val="0"/>
          <w:dstrike w:val="0"/>
          <w:kern w:val="0"/>
          <w:sz w:val="24"/>
          <w:szCs w:val="24"/>
          <w:lang w:eastAsia="zh-CN"/>
        </w:rPr>
        <w:t>（四）</w:t>
      </w:r>
      <w:r>
        <w:rPr>
          <w:rFonts w:hint="eastAsia" w:ascii="宋体" w:hAnsi="宋体" w:eastAsia="宋体" w:cs="宋体"/>
          <w:strike w:val="0"/>
          <w:dstrike w:val="0"/>
          <w:kern w:val="0"/>
          <w:sz w:val="24"/>
          <w:szCs w:val="24"/>
          <w:lang w:eastAsia="zh-CN"/>
        </w:rPr>
        <w:t>标的物的数量、重量、品质均为设计估算；数量、重量、品质按实际交付为准（交付时不再过磅），如实际交付有差距，则不进行拍卖成交款的退补，相应风险由买受人自行承担。</w:t>
      </w:r>
    </w:p>
    <w:p w14:paraId="369F6DC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eastAsia="zh-CN"/>
        </w:rPr>
        <w:t>第五条</w:t>
      </w:r>
      <w:r>
        <w:rPr>
          <w:rFonts w:hint="eastAsia" w:ascii="宋体" w:hAnsi="宋体"/>
          <w:b/>
          <w:color w:val="auto"/>
          <w:sz w:val="24"/>
          <w:highlight w:val="none"/>
          <w:lang w:val="en-US" w:eastAsia="zh-CN"/>
        </w:rPr>
        <w:t xml:space="preserve">  标的物特别说明</w:t>
      </w:r>
    </w:p>
    <w:p w14:paraId="4E80693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color w:val="auto"/>
          <w:sz w:val="24"/>
          <w:highlight w:val="none"/>
        </w:rPr>
      </w:pPr>
      <w:r>
        <w:rPr>
          <w:rFonts w:hint="eastAsia" w:ascii="宋体" w:hAnsi="宋体"/>
          <w:b/>
          <w:color w:val="auto"/>
          <w:sz w:val="24"/>
          <w:highlight w:val="none"/>
        </w:rPr>
        <w:t>竞买人须自愿接受下列条款以及《</w:t>
      </w:r>
      <w:r>
        <w:rPr>
          <w:rFonts w:hint="eastAsia" w:ascii="宋体" w:hAnsi="宋体"/>
          <w:b/>
          <w:color w:val="auto"/>
          <w:sz w:val="24"/>
          <w:highlight w:val="none"/>
          <w:lang w:eastAsia="zh-CN"/>
        </w:rPr>
        <w:t>土石料买卖合同</w:t>
      </w:r>
      <w:r>
        <w:rPr>
          <w:rFonts w:hint="eastAsia" w:ascii="宋体" w:hAnsi="宋体"/>
          <w:b/>
          <w:color w:val="auto"/>
          <w:sz w:val="24"/>
          <w:highlight w:val="none"/>
        </w:rPr>
        <w:t>（样本）》条款方可参加拍卖：</w:t>
      </w:r>
    </w:p>
    <w:p w14:paraId="603F3EA1">
      <w:pPr>
        <w:keepNext w:val="0"/>
        <w:keepLines w:val="0"/>
        <w:pageBreakBefore w:val="0"/>
        <w:widowControl w:val="0"/>
        <w:numPr>
          <w:ilvl w:val="0"/>
          <w:numId w:val="1"/>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签订《</w:t>
      </w:r>
      <w:r>
        <w:rPr>
          <w:rFonts w:hint="eastAsia" w:ascii="宋体" w:hAnsi="宋体" w:cs="宋体"/>
          <w:color w:val="000000" w:themeColor="text1"/>
          <w:kern w:val="0"/>
          <w:sz w:val="24"/>
          <w:highlight w:val="none"/>
          <w:lang w:eastAsia="zh-CN"/>
          <w14:textFill>
            <w14:solidFill>
              <w14:schemeClr w14:val="tx1"/>
            </w14:solidFill>
          </w14:textFill>
        </w:rPr>
        <w:t>土石料买卖合同</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前，</w:t>
      </w:r>
      <w:r>
        <w:rPr>
          <w:rFonts w:hint="eastAsia" w:ascii="宋体" w:hAnsi="宋体" w:cs="宋体"/>
          <w:color w:val="000000" w:themeColor="text1"/>
          <w:kern w:val="0"/>
          <w:sz w:val="24"/>
          <w:highlight w:val="none"/>
          <w14:textFill>
            <w14:solidFill>
              <w14:schemeClr w14:val="tx1"/>
            </w14:solidFill>
          </w14:textFill>
        </w:rPr>
        <w:t>由买受人向</w:t>
      </w:r>
      <w:r>
        <w:rPr>
          <w:rFonts w:hint="eastAsia" w:ascii="宋体" w:hAnsi="宋体" w:cs="宋体"/>
          <w:color w:val="000000" w:themeColor="text1"/>
          <w:kern w:val="0"/>
          <w:sz w:val="24"/>
          <w:highlight w:val="none"/>
          <w:lang w:eastAsia="zh-CN"/>
          <w14:textFill>
            <w14:solidFill>
              <w14:schemeClr w14:val="tx1"/>
            </w14:solidFill>
          </w14:textFill>
        </w:rPr>
        <w:t>委托人</w:t>
      </w:r>
      <w:r>
        <w:rPr>
          <w:rFonts w:hint="eastAsia" w:ascii="宋体" w:hAnsi="宋体" w:cs="宋体"/>
          <w:color w:val="000000" w:themeColor="text1"/>
          <w:kern w:val="0"/>
          <w:sz w:val="24"/>
          <w:highlight w:val="none"/>
          <w14:textFill>
            <w14:solidFill>
              <w14:schemeClr w14:val="tx1"/>
            </w14:solidFill>
          </w14:textFill>
        </w:rPr>
        <w:t>支付</w:t>
      </w:r>
      <w:r>
        <w:rPr>
          <w:rFonts w:hint="eastAsia" w:ascii="宋体" w:hAnsi="宋体" w:cs="宋体"/>
          <w:b/>
          <w:bCs/>
          <w:color w:val="000000" w:themeColor="text1"/>
          <w:kern w:val="0"/>
          <w:sz w:val="24"/>
          <w:highlight w:val="none"/>
          <w14:textFill>
            <w14:solidFill>
              <w14:schemeClr w14:val="tx1"/>
            </w14:solidFill>
          </w14:textFill>
        </w:rPr>
        <w:t>履约保证金：</w:t>
      </w:r>
      <w:r>
        <w:rPr>
          <w:rFonts w:hint="eastAsia" w:ascii="宋体" w:hAnsi="宋体" w:cs="宋体"/>
          <w:b/>
          <w:bCs/>
          <w:color w:val="000000" w:themeColor="text1"/>
          <w:kern w:val="0"/>
          <w:sz w:val="24"/>
          <w:highlight w:val="none"/>
          <w:lang w:eastAsia="zh-CN"/>
          <w14:textFill>
            <w14:solidFill>
              <w14:schemeClr w14:val="tx1"/>
            </w14:solidFill>
          </w14:textFill>
        </w:rPr>
        <w:t>人民币</w:t>
      </w:r>
      <w:r>
        <w:rPr>
          <w:rFonts w:hint="eastAsia" w:ascii="宋体" w:hAnsi="宋体" w:cs="宋体"/>
          <w:b/>
          <w:bCs/>
          <w:color w:val="000000" w:themeColor="text1"/>
          <w:kern w:val="0"/>
          <w:sz w:val="24"/>
          <w:highlight w:val="none"/>
          <w:lang w:val="en-US" w:eastAsia="zh-CN"/>
          <w14:textFill>
            <w14:solidFill>
              <w14:schemeClr w14:val="tx1"/>
            </w14:solidFill>
          </w14:textFill>
        </w:rPr>
        <w:t>30万元</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履约保证金收取后，</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应向买受人开具收款凭证。履约保证金不足时，</w:t>
      </w:r>
      <w:r>
        <w:rPr>
          <w:rFonts w:hint="eastAsia" w:ascii="宋体" w:hAnsi="宋体"/>
          <w:color w:val="000000" w:themeColor="text1"/>
          <w:sz w:val="24"/>
          <w:highlight w:val="none"/>
          <w:lang w:eastAsia="zh-CN"/>
          <w14:textFill>
            <w14:solidFill>
              <w14:schemeClr w14:val="tx1"/>
            </w14:solidFill>
          </w14:textFill>
        </w:rPr>
        <w:t>买受人</w:t>
      </w:r>
      <w:r>
        <w:rPr>
          <w:rFonts w:hint="eastAsia" w:ascii="宋体" w:hAnsi="宋体"/>
          <w:color w:val="000000" w:themeColor="text1"/>
          <w:sz w:val="24"/>
          <w:highlight w:val="none"/>
          <w14:textFill>
            <w14:solidFill>
              <w14:schemeClr w14:val="tx1"/>
            </w14:solidFill>
          </w14:textFill>
        </w:rPr>
        <w:t>须在接</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通知后3个工作日内补足。待标的物交付完毕且确认双方无纠纷，由</w:t>
      </w:r>
      <w:r>
        <w:rPr>
          <w:rFonts w:hint="eastAsia" w:ascii="宋体" w:hAnsi="宋体"/>
          <w:color w:val="000000" w:themeColor="text1"/>
          <w:sz w:val="24"/>
          <w:highlight w:val="none"/>
          <w:lang w:eastAsia="zh-CN"/>
          <w14:textFill>
            <w14:solidFill>
              <w14:schemeClr w14:val="tx1"/>
            </w14:solidFill>
          </w14:textFill>
        </w:rPr>
        <w:t>委托人</w:t>
      </w:r>
      <w:r>
        <w:rPr>
          <w:rFonts w:hint="eastAsia" w:ascii="宋体" w:hAnsi="宋体"/>
          <w:color w:val="000000" w:themeColor="text1"/>
          <w:sz w:val="24"/>
          <w:highlight w:val="none"/>
          <w14:textFill>
            <w14:solidFill>
              <w14:schemeClr w14:val="tx1"/>
            </w14:solidFill>
          </w14:textFill>
        </w:rPr>
        <w:t>一次性退还给</w:t>
      </w:r>
      <w:r>
        <w:rPr>
          <w:rFonts w:hint="eastAsia" w:ascii="宋体" w:hAnsi="宋体"/>
          <w:color w:val="000000" w:themeColor="text1"/>
          <w:sz w:val="24"/>
          <w:highlight w:val="none"/>
          <w:lang w:eastAsia="zh-CN"/>
          <w14:textFill>
            <w14:solidFill>
              <w14:schemeClr w14:val="tx1"/>
            </w14:solidFill>
          </w14:textFill>
        </w:rPr>
        <w:t>买受人履约保证金</w:t>
      </w:r>
      <w:r>
        <w:rPr>
          <w:rFonts w:hint="eastAsia" w:ascii="宋体" w:hAnsi="宋体"/>
          <w:color w:val="000000" w:themeColor="text1"/>
          <w:sz w:val="24"/>
          <w:highlight w:val="none"/>
          <w14:textFill>
            <w14:solidFill>
              <w14:schemeClr w14:val="tx1"/>
            </w14:solidFill>
          </w14:textFill>
        </w:rPr>
        <w:t>（按交款当日的银行同期活期存款利率计息）。</w:t>
      </w:r>
    </w:p>
    <w:p w14:paraId="4E3F30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买受人在履约期间，须无条件自行承担各类费用及安全环保责任（包括但不限于装卸、运输、安全事故、各类纠纷、税费等）。买受人须设置冲洗设备和设置，保持环境清洁，不污染路面，如有环境污染问题，除移交环保部门和交通综合执法部门处理外，每次处以罚金3万元。</w:t>
      </w:r>
    </w:p>
    <w:p w14:paraId="55A1DD83">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三</w:t>
      </w:r>
      <w:r>
        <w:rPr>
          <w:rFonts w:hint="eastAsia" w:ascii="宋体" w:hAnsi="宋体" w:cs="宋体"/>
          <w:color w:val="000000" w:themeColor="text1"/>
          <w:kern w:val="0"/>
          <w:sz w:val="24"/>
          <w:highlight w:val="none"/>
          <w14:textFill>
            <w14:solidFill>
              <w14:schemeClr w14:val="tx1"/>
            </w14:solidFill>
          </w14:textFill>
        </w:rPr>
        <w:t>）买受人须自行办理清运相关手续、承担费用，并组织机械设备及装运车辆（不得超过20吨）清运；且在清运期间不得影响周边居民、企业的正常生活及生产，确保道路通畅。如遇道路通行、人身财产安全</w:t>
      </w:r>
      <w:r>
        <w:rPr>
          <w:rFonts w:hint="eastAsia" w:ascii="宋体" w:hAnsi="宋体" w:cs="宋体"/>
          <w:color w:val="000000" w:themeColor="text1"/>
          <w:kern w:val="0"/>
          <w:sz w:val="24"/>
          <w:highlight w:val="none"/>
          <w:lang w:eastAsia="zh-CN"/>
          <w14:textFill>
            <w14:solidFill>
              <w14:schemeClr w14:val="tx1"/>
            </w14:solidFill>
          </w14:textFill>
        </w:rPr>
        <w:t>和损坏等</w:t>
      </w:r>
      <w:r>
        <w:rPr>
          <w:rFonts w:hint="eastAsia" w:ascii="宋体" w:hAnsi="宋体" w:cs="宋体"/>
          <w:color w:val="000000" w:themeColor="text1"/>
          <w:kern w:val="0"/>
          <w:sz w:val="24"/>
          <w:highlight w:val="none"/>
          <w14:textFill>
            <w14:solidFill>
              <w14:schemeClr w14:val="tx1"/>
            </w14:solidFill>
          </w14:textFill>
        </w:rPr>
        <w:t>问题，均由买受人自行解决，与其他各方无涉。</w:t>
      </w:r>
    </w:p>
    <w:p w14:paraId="58479D1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14:textFill>
            <w14:solidFill>
              <w14:schemeClr w14:val="tx1"/>
            </w14:solidFill>
          </w14:textFill>
        </w:rPr>
        <w:t>买受人须在</w:t>
      </w:r>
      <w:r>
        <w:rPr>
          <w:rFonts w:hint="eastAsia" w:ascii="宋体" w:hAnsi="宋体" w:eastAsia="宋体" w:cs="宋体"/>
          <w:color w:val="000000" w:themeColor="text1"/>
          <w:kern w:val="0"/>
          <w:sz w:val="24"/>
          <w:szCs w:val="24"/>
          <w:lang w:val="en-US" w:eastAsia="zh-CN"/>
          <w14:textFill>
            <w14:solidFill>
              <w14:schemeClr w14:val="tx1"/>
            </w14:solidFill>
          </w14:textFill>
        </w:rPr>
        <w:t>拍卖成交后60天内（因施工进度原因除外）</w:t>
      </w:r>
      <w:r>
        <w:rPr>
          <w:rFonts w:hint="eastAsia" w:ascii="宋体" w:hAnsi="宋体" w:eastAsia="宋体" w:cs="宋体"/>
          <w:color w:val="000000" w:themeColor="text1"/>
          <w:kern w:val="0"/>
          <w:sz w:val="24"/>
          <w:szCs w:val="24"/>
          <w14:textFill>
            <w14:solidFill>
              <w14:schemeClr w14:val="tx1"/>
            </w14:solidFill>
          </w14:textFill>
        </w:rPr>
        <w:t>完成</w:t>
      </w:r>
      <w:r>
        <w:rPr>
          <w:rFonts w:hint="eastAsia" w:ascii="宋体" w:hAnsi="宋体" w:cs="宋体"/>
          <w:color w:val="000000" w:themeColor="text1"/>
          <w:kern w:val="0"/>
          <w:sz w:val="24"/>
          <w:szCs w:val="24"/>
          <w:lang w:eastAsia="zh-CN"/>
          <w14:textFill>
            <w14:solidFill>
              <w14:schemeClr w14:val="tx1"/>
            </w14:solidFill>
          </w14:textFill>
        </w:rPr>
        <w:t>土</w:t>
      </w:r>
      <w:r>
        <w:rPr>
          <w:rFonts w:hint="eastAsia" w:ascii="宋体" w:hAnsi="宋体" w:eastAsia="宋体" w:cs="宋体"/>
          <w:color w:val="000000" w:themeColor="text1"/>
          <w:kern w:val="0"/>
          <w:sz w:val="24"/>
          <w:szCs w:val="24"/>
          <w:lang w:val="en-US" w:eastAsia="zh-CN"/>
          <w14:textFill>
            <w14:solidFill>
              <w14:schemeClr w14:val="tx1"/>
            </w14:solidFill>
          </w14:textFill>
        </w:rPr>
        <w:t>石料</w:t>
      </w:r>
      <w:r>
        <w:rPr>
          <w:rFonts w:hint="eastAsia" w:ascii="宋体" w:hAnsi="宋体" w:eastAsia="宋体" w:cs="宋体"/>
          <w:color w:val="000000" w:themeColor="text1"/>
          <w:kern w:val="0"/>
          <w:sz w:val="24"/>
          <w:szCs w:val="24"/>
          <w14:textFill>
            <w14:solidFill>
              <w14:schemeClr w14:val="tx1"/>
            </w14:solidFill>
          </w14:textFill>
        </w:rPr>
        <w:t>的清运</w:t>
      </w:r>
      <w:r>
        <w:rPr>
          <w:rFonts w:hint="default"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逾期视为自动放弃，委托人有权按废弃物予以处理，</w:t>
      </w:r>
      <w:r>
        <w:rPr>
          <w:rFonts w:hint="eastAsia" w:ascii="宋体" w:hAnsi="宋体" w:cs="宋体"/>
          <w:color w:val="000000" w:themeColor="text1"/>
          <w:kern w:val="0"/>
          <w:sz w:val="24"/>
          <w:szCs w:val="24"/>
          <w:lang w:eastAsia="zh-CN"/>
          <w14:textFill>
            <w14:solidFill>
              <w14:schemeClr w14:val="tx1"/>
            </w14:solidFill>
          </w14:textFill>
        </w:rPr>
        <w:t>相关处置费用由买受人承担，且</w:t>
      </w:r>
      <w:r>
        <w:rPr>
          <w:rFonts w:hint="eastAsia" w:ascii="宋体" w:hAnsi="宋体" w:eastAsia="宋体" w:cs="宋体"/>
          <w:color w:val="000000" w:themeColor="text1"/>
          <w:kern w:val="0"/>
          <w:sz w:val="24"/>
          <w:szCs w:val="24"/>
          <w14:textFill>
            <w14:solidFill>
              <w14:schemeClr w14:val="tx1"/>
            </w14:solidFill>
          </w14:textFill>
        </w:rPr>
        <w:t>履约保证金不予退还。</w:t>
      </w:r>
    </w:p>
    <w:p w14:paraId="1D4815F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买受人须根据施工进度取料，每次须在</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接到</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施工单位</w:t>
      </w:r>
      <w:r>
        <w:rPr>
          <w:rFonts w:hint="eastAsia" w:ascii="宋体" w:hAnsi="宋体" w:cs="宋体"/>
          <w:b w:val="0"/>
          <w:bCs w:val="0"/>
          <w:color w:val="000000" w:themeColor="text1"/>
          <w:kern w:val="0"/>
          <w:sz w:val="24"/>
          <w:szCs w:val="24"/>
          <w:lang w:val="en-US" w:eastAsia="zh-CN" w:bidi="ar-SA"/>
          <w14:textFill>
            <w14:solidFill>
              <w14:schemeClr w14:val="tx1"/>
            </w14:solidFill>
          </w14:textFill>
        </w:rPr>
        <w:t>开挖通知</w:t>
      </w: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后5天内完成土石料的清运，</w:t>
      </w:r>
      <w:r>
        <w:rPr>
          <w:rFonts w:hint="eastAsia" w:ascii="宋体" w:hAnsi="宋体" w:eastAsia="宋体" w:cs="宋体"/>
          <w:color w:val="000000" w:themeColor="text1"/>
          <w:kern w:val="0"/>
          <w:sz w:val="24"/>
          <w:szCs w:val="24"/>
          <w14:textFill>
            <w14:solidFill>
              <w14:schemeClr w14:val="tx1"/>
            </w14:solidFill>
          </w14:textFill>
        </w:rPr>
        <w:t>逾期视为自动放弃，委托人有权按废弃物予以处理，</w:t>
      </w:r>
      <w:r>
        <w:rPr>
          <w:rFonts w:hint="eastAsia" w:ascii="宋体" w:hAnsi="宋体" w:cs="宋体"/>
          <w:color w:val="000000" w:themeColor="text1"/>
          <w:kern w:val="0"/>
          <w:sz w:val="24"/>
          <w:szCs w:val="24"/>
          <w:lang w:eastAsia="zh-CN"/>
          <w14:textFill>
            <w14:solidFill>
              <w14:schemeClr w14:val="tx1"/>
            </w14:solidFill>
          </w14:textFill>
        </w:rPr>
        <w:t>相关处置费用由买受人承担（从履约保证金中扣除）</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上述情况超过</w:t>
      </w:r>
      <w:r>
        <w:rPr>
          <w:rFonts w:hint="eastAsia" w:ascii="宋体" w:hAnsi="宋体" w:cs="宋体"/>
          <w:color w:val="000000" w:themeColor="text1"/>
          <w:kern w:val="0"/>
          <w:sz w:val="24"/>
          <w:szCs w:val="24"/>
          <w:lang w:val="en-US" w:eastAsia="zh-CN"/>
          <w14:textFill>
            <w14:solidFill>
              <w14:schemeClr w14:val="tx1"/>
            </w14:solidFill>
          </w14:textFill>
        </w:rPr>
        <w:t>3次</w:t>
      </w:r>
      <w:r>
        <w:rPr>
          <w:rFonts w:hint="eastAsia" w:ascii="宋体" w:hAnsi="宋体" w:cs="宋体"/>
          <w:color w:val="000000" w:themeColor="text1"/>
          <w:kern w:val="0"/>
          <w:sz w:val="24"/>
          <w:szCs w:val="24"/>
          <w:lang w:eastAsia="zh-CN"/>
          <w14:textFill>
            <w14:solidFill>
              <w14:schemeClr w14:val="tx1"/>
            </w14:solidFill>
          </w14:textFill>
        </w:rPr>
        <w:t>，委托人有权提前终止合同，且</w:t>
      </w:r>
      <w:r>
        <w:rPr>
          <w:rFonts w:hint="eastAsia" w:ascii="宋体" w:hAnsi="宋体" w:eastAsia="宋体" w:cs="宋体"/>
          <w:color w:val="000000" w:themeColor="text1"/>
          <w:kern w:val="0"/>
          <w:sz w:val="24"/>
          <w:szCs w:val="24"/>
          <w14:textFill>
            <w14:solidFill>
              <w14:schemeClr w14:val="tx1"/>
            </w14:solidFill>
          </w14:textFill>
        </w:rPr>
        <w:t>履约保证金不予退还</w:t>
      </w:r>
      <w:r>
        <w:rPr>
          <w:rFonts w:hint="eastAsia" w:ascii="宋体" w:hAnsi="宋体" w:cs="宋体"/>
          <w:color w:val="000000" w:themeColor="text1"/>
          <w:kern w:val="0"/>
          <w:sz w:val="24"/>
          <w:szCs w:val="24"/>
          <w:lang w:eastAsia="zh-CN"/>
          <w14:textFill>
            <w14:solidFill>
              <w14:schemeClr w14:val="tx1"/>
            </w14:solidFill>
          </w14:textFill>
        </w:rPr>
        <w:t>。</w:t>
      </w:r>
    </w:p>
    <w:p w14:paraId="0A3A2CE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t>如遇特殊情况无法及时清运，买受人必须提前征得委托人的书面同意。</w:t>
      </w:r>
    </w:p>
    <w:p w14:paraId="05DA123C">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（五</w:t>
      </w:r>
      <w:r>
        <w:rPr>
          <w:rFonts w:hint="eastAsia" w:ascii="宋体" w:hAnsi="宋体" w:eastAsia="宋体" w:cs="宋体"/>
          <w:color w:val="000000" w:themeColor="text1"/>
          <w:sz w:val="24"/>
          <w:highlight w:val="none"/>
          <w:lang w:eastAsia="zh-CN"/>
          <w14:textFill>
            <w14:solidFill>
              <w14:schemeClr w14:val="tx1"/>
            </w14:solidFill>
          </w14:textFill>
        </w:rPr>
        <w:t>）买受人的车辆和机械应在指定位置装卸</w:t>
      </w:r>
      <w:r>
        <w:rPr>
          <w:rFonts w:hint="eastAsia" w:ascii="宋体" w:hAnsi="宋体" w:cs="宋体"/>
          <w:color w:val="000000" w:themeColor="text1"/>
          <w:sz w:val="24"/>
          <w:highlight w:val="none"/>
          <w:lang w:eastAsia="zh-CN"/>
          <w14:textFill>
            <w14:solidFill>
              <w14:schemeClr w14:val="tx1"/>
            </w14:solidFill>
          </w14:textFill>
        </w:rPr>
        <w:t>土石料</w:t>
      </w:r>
      <w:r>
        <w:rPr>
          <w:rFonts w:hint="eastAsia" w:ascii="宋体" w:hAnsi="宋体" w:eastAsia="宋体" w:cs="宋体"/>
          <w:color w:val="000000" w:themeColor="text1"/>
          <w:sz w:val="24"/>
          <w:highlight w:val="none"/>
          <w:lang w:eastAsia="zh-CN"/>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66141D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）土石料外运过程中进</w:t>
      </w:r>
      <w:r>
        <w:rPr>
          <w:rFonts w:hint="eastAsia" w:ascii="宋体" w:hAnsi="宋体" w:cs="宋体"/>
          <w:color w:val="000000" w:themeColor="text1"/>
          <w:sz w:val="24"/>
          <w:highlight w:val="none"/>
          <w:lang w:eastAsia="zh-CN"/>
          <w14:textFill>
            <w14:solidFill>
              <w14:schemeClr w14:val="tx1"/>
            </w14:solidFill>
          </w14:textFill>
        </w:rPr>
        <w:t>出</w:t>
      </w:r>
      <w:r>
        <w:rPr>
          <w:rFonts w:hint="eastAsia" w:ascii="宋体" w:hAnsi="宋体" w:eastAsia="宋体" w:cs="宋体"/>
          <w:color w:val="000000" w:themeColor="text1"/>
          <w:sz w:val="24"/>
          <w:highlight w:val="none"/>
          <w14:textFill>
            <w14:solidFill>
              <w14:schemeClr w14:val="tx1"/>
            </w14:solidFill>
          </w14:textFill>
        </w:rPr>
        <w:t>车辆必须按土石料道路清运规定执行，相关工作由街道城管负责监督管理。</w:t>
      </w:r>
    </w:p>
    <w:p w14:paraId="494E862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七</w:t>
      </w:r>
      <w:r>
        <w:rPr>
          <w:rFonts w:hint="eastAsia" w:ascii="宋体" w:hAnsi="宋体" w:cs="宋体"/>
          <w:color w:val="000000"/>
          <w:kern w:val="0"/>
          <w:sz w:val="24"/>
        </w:rPr>
        <w:t>）其他内容详见《</w:t>
      </w:r>
      <w:r>
        <w:rPr>
          <w:rFonts w:hint="eastAsia" w:ascii="宋体" w:hAnsi="宋体" w:cs="宋体"/>
          <w:color w:val="000000"/>
          <w:kern w:val="0"/>
          <w:sz w:val="24"/>
          <w:lang w:eastAsia="zh-CN"/>
        </w:rPr>
        <w:t>土石料买卖合同</w:t>
      </w:r>
      <w:r>
        <w:rPr>
          <w:rFonts w:hint="eastAsia" w:ascii="宋体" w:hAnsi="宋体" w:cs="宋体"/>
          <w:color w:val="000000"/>
          <w:kern w:val="0"/>
          <w:sz w:val="24"/>
        </w:rPr>
        <w:t>（样本）》。</w:t>
      </w:r>
    </w:p>
    <w:p w14:paraId="56421779">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auto"/>
          <w:sz w:val="28"/>
          <w:szCs w:val="28"/>
        </w:rPr>
      </w:pPr>
      <w:r>
        <w:rPr>
          <w:rFonts w:hint="eastAsia" w:ascii="宋体" w:hAnsi="宋体" w:eastAsia="宋体" w:cs="Times New Roman"/>
          <w:b/>
          <w:color w:val="auto"/>
          <w:sz w:val="28"/>
          <w:szCs w:val="28"/>
        </w:rPr>
        <w:t>拍卖前期活动</w:t>
      </w:r>
    </w:p>
    <w:p w14:paraId="3D834D31">
      <w:pPr>
        <w:keepNext w:val="0"/>
        <w:keepLines w:val="0"/>
        <w:pageBreakBefore w:val="0"/>
        <w:widowControl w:val="0"/>
        <w:tabs>
          <w:tab w:val="left" w:pos="1995"/>
        </w:tabs>
        <w:kinsoku/>
        <w:wordWrap/>
        <w:overflowPunct/>
        <w:topLinePunct w:val="0"/>
        <w:autoSpaceDE/>
        <w:autoSpaceDN/>
        <w:bidi w:val="0"/>
        <w:adjustRightInd/>
        <w:spacing w:line="50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26435B9B">
      <w:pPr>
        <w:keepNext w:val="0"/>
        <w:keepLines w:val="0"/>
        <w:pageBreakBefore w:val="0"/>
        <w:widowControl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44A92DD9">
      <w:pPr>
        <w:keepNext w:val="0"/>
        <w:keepLines w:val="0"/>
        <w:pageBreakBefore w:val="0"/>
        <w:widowControl w:val="0"/>
        <w:tabs>
          <w:tab w:val="left" w:pos="1995"/>
        </w:tabs>
        <w:kinsoku/>
        <w:wordWrap/>
        <w:overflowPunct/>
        <w:topLinePunct w:val="0"/>
        <w:autoSpaceDE/>
        <w:autoSpaceDN/>
        <w:bidi w:val="0"/>
        <w:adjustRightInd/>
        <w:spacing w:line="500" w:lineRule="exact"/>
        <w:ind w:firstLine="480" w:firstLineChars="200"/>
        <w:textAlignment w:val="auto"/>
        <w:rPr>
          <w:rFonts w:hint="eastAsia" w:ascii="宋体" w:hAnsi="宋体"/>
          <w:color w:val="auto"/>
          <w:sz w:val="24"/>
        </w:rPr>
      </w:pPr>
      <w:r>
        <w:rPr>
          <w:rFonts w:hint="eastAsia" w:ascii="宋体" w:hAnsi="宋体"/>
          <w:color w:val="auto"/>
          <w:sz w:val="24"/>
        </w:rPr>
        <w:t>在拍卖会举行前，如</w:t>
      </w:r>
      <w:r>
        <w:rPr>
          <w:rFonts w:hint="eastAsia" w:ascii="宋体" w:hAnsi="宋体"/>
          <w:color w:val="auto"/>
          <w:sz w:val="24"/>
          <w:lang w:eastAsia="zh-CN"/>
        </w:rPr>
        <w:t>委托人</w:t>
      </w:r>
      <w:r>
        <w:rPr>
          <w:rFonts w:hint="eastAsia" w:ascii="宋体" w:hAnsi="宋体"/>
          <w:color w:val="auto"/>
          <w:sz w:val="24"/>
        </w:rPr>
        <w:t>决定中止、暂缓或终止委托拍卖的，则竞买人应当无条件的予以接受，交纳的竞买保证金(按</w:t>
      </w:r>
      <w:r>
        <w:rPr>
          <w:rFonts w:hint="eastAsia" w:ascii="宋体" w:hAnsi="宋体"/>
          <w:color w:val="auto"/>
          <w:sz w:val="24"/>
          <w:lang w:eastAsia="zh-CN"/>
        </w:rPr>
        <w:t>交款当日</w:t>
      </w:r>
      <w:r>
        <w:rPr>
          <w:rFonts w:hint="eastAsia" w:ascii="宋体" w:hAnsi="宋体"/>
          <w:color w:val="auto"/>
          <w:sz w:val="24"/>
        </w:rPr>
        <w:t>银行同期活期存款利率计息）予以退还，</w:t>
      </w:r>
      <w:r>
        <w:rPr>
          <w:rFonts w:hint="eastAsia" w:ascii="宋体" w:hAnsi="宋体"/>
          <w:color w:val="auto"/>
          <w:sz w:val="24"/>
          <w:lang w:eastAsia="zh-CN"/>
        </w:rPr>
        <w:t>委托人</w:t>
      </w:r>
      <w:r>
        <w:rPr>
          <w:rFonts w:hint="eastAsia" w:ascii="宋体" w:hAnsi="宋体"/>
          <w:color w:val="auto"/>
          <w:sz w:val="24"/>
        </w:rPr>
        <w:t>和拍卖人不承担竞买人的一切损失。</w:t>
      </w:r>
    </w:p>
    <w:p w14:paraId="7EC33324">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color w:val="auto"/>
          <w:sz w:val="24"/>
        </w:rPr>
      </w:pPr>
      <w:r>
        <w:rPr>
          <w:rFonts w:hint="eastAsia" w:ascii="宋体" w:hAnsi="宋体"/>
          <w:b/>
          <w:bCs/>
          <w:color w:val="auto"/>
          <w:sz w:val="24"/>
          <w:lang w:eastAsia="zh-CN"/>
        </w:rPr>
        <w:t>第七条</w:t>
      </w:r>
      <w:r>
        <w:rPr>
          <w:rFonts w:hint="eastAsia" w:ascii="宋体" w:hAnsi="宋体"/>
          <w:color w:val="auto"/>
          <w:sz w:val="24"/>
          <w:lang w:val="en-US" w:eastAsia="zh-CN"/>
        </w:rPr>
        <w:t xml:space="preserve">  </w:t>
      </w:r>
      <w:r>
        <w:rPr>
          <w:rFonts w:hint="eastAsia" w:ascii="宋体" w:hAnsi="宋体"/>
          <w:color w:val="auto"/>
          <w:sz w:val="24"/>
        </w:rPr>
        <w:t>竞买人应在报名登记前按时、足额交纳竞买保证金（按</w:t>
      </w:r>
      <w:r>
        <w:rPr>
          <w:rFonts w:hint="eastAsia" w:ascii="宋体" w:hAnsi="宋体"/>
          <w:color w:val="auto"/>
          <w:sz w:val="24"/>
          <w:lang w:eastAsia="zh-CN"/>
        </w:rPr>
        <w:t>交款当日</w:t>
      </w:r>
      <w:r>
        <w:rPr>
          <w:rFonts w:hint="eastAsia" w:ascii="宋体" w:hAnsi="宋体"/>
          <w:color w:val="auto"/>
          <w:sz w:val="24"/>
        </w:rPr>
        <w:t>银行同期活期存款利率计息）。</w:t>
      </w:r>
    </w:p>
    <w:p w14:paraId="72FC02CA">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color w:val="auto"/>
          <w:sz w:val="24"/>
        </w:rPr>
      </w:pPr>
      <w:r>
        <w:rPr>
          <w:rFonts w:hint="default" w:ascii="宋体" w:hAnsi="宋体"/>
          <w:sz w:val="24"/>
        </w:rPr>
        <w:t>竞买人所领取的竞买保证金收据是参加拍卖活动的重要依据，应自行慎重处置，若因转交他人或遗失等产生的结果及可能导致的纠纷和经济损失，均由收据中注明的竞买人自行负全责</w:t>
      </w:r>
      <w:r>
        <w:rPr>
          <w:rFonts w:hint="eastAsia" w:ascii="宋体" w:hAnsi="宋体"/>
          <w:color w:val="auto"/>
          <w:sz w:val="24"/>
        </w:rPr>
        <w:t>，与拍卖人无涉。</w:t>
      </w:r>
    </w:p>
    <w:p w14:paraId="75819DC5">
      <w:pPr>
        <w:keepNext w:val="0"/>
        <w:keepLines w:val="0"/>
        <w:pageBreakBefore w:val="0"/>
        <w:widowControl w:val="0"/>
        <w:kinsoku/>
        <w:wordWrap/>
        <w:overflowPunct/>
        <w:topLinePunct w:val="0"/>
        <w:autoSpaceDE/>
        <w:autoSpaceDN/>
        <w:bidi w:val="0"/>
        <w:adjustRightInd/>
        <w:snapToGrid/>
        <w:spacing w:before="124" w:beforeLines="40" w:after="124" w:afterLines="40" w:line="500" w:lineRule="exact"/>
        <w:ind w:left="-178" w:leftChars="-85" w:right="-178" w:rightChars="-85"/>
        <w:jc w:val="center"/>
        <w:textAlignment w:val="auto"/>
        <w:rPr>
          <w:rFonts w:hint="eastAsia" w:ascii="宋体" w:hAnsi="宋体"/>
          <w:b/>
          <w:sz w:val="28"/>
          <w:szCs w:val="28"/>
        </w:rPr>
      </w:pPr>
      <w:r>
        <w:rPr>
          <w:rFonts w:hint="default" w:ascii="宋体" w:hAnsi="宋体"/>
          <w:b/>
          <w:sz w:val="28"/>
          <w:szCs w:val="28"/>
        </w:rPr>
        <w:t>拍卖会</w:t>
      </w:r>
    </w:p>
    <w:p w14:paraId="742BA203">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0" w:rightChars="0" w:firstLine="482" w:firstLineChars="200"/>
        <w:textAlignment w:val="auto"/>
        <w:rPr>
          <w:rFonts w:hint="default" w:ascii="宋体" w:hAnsi="宋体"/>
          <w:sz w:val="24"/>
        </w:rPr>
      </w:pPr>
      <w:r>
        <w:rPr>
          <w:rFonts w:hint="eastAsia" w:ascii="宋体" w:hAnsi="宋体"/>
          <w:b/>
          <w:bCs/>
          <w:sz w:val="24"/>
          <w:lang w:val="en-US" w:eastAsia="zh-CN"/>
        </w:rPr>
        <w:t xml:space="preserve">第八条  </w:t>
      </w:r>
      <w:r>
        <w:rPr>
          <w:rFonts w:hint="eastAsia" w:ascii="宋体" w:hAnsi="宋体" w:eastAsia="宋体" w:cs="Times New Roman"/>
          <w:color w:val="auto"/>
          <w:sz w:val="24"/>
          <w:u w:val="none"/>
          <w:lang w:eastAsia="zh-CN"/>
        </w:rPr>
        <w:t>本次拍卖</w:t>
      </w:r>
      <w:r>
        <w:rPr>
          <w:rFonts w:hint="eastAsia" w:ascii="宋体" w:hAnsi="宋体" w:eastAsia="宋体" w:cs="Times New Roman"/>
          <w:color w:val="auto"/>
          <w:sz w:val="24"/>
          <w:highlight w:val="none"/>
          <w:u w:val="none"/>
          <w:lang w:eastAsia="zh-CN"/>
        </w:rPr>
        <w:t>标的经过规定的报刊、网络发布公告，并经实地展示</w:t>
      </w:r>
      <w:r>
        <w:rPr>
          <w:rFonts w:hint="default" w:ascii="宋体" w:hAnsi="宋体"/>
          <w:sz w:val="24"/>
          <w:highlight w:val="none"/>
        </w:rPr>
        <w:t>，由拍卖人主持，并在相关当事人和监管部门监督下进行。</w:t>
      </w:r>
      <w:r>
        <w:rPr>
          <w:rFonts w:hint="default" w:ascii="宋体" w:hAnsi="宋体"/>
          <w:b/>
          <w:bCs/>
          <w:sz w:val="24"/>
          <w:highlight w:val="none"/>
        </w:rPr>
        <w:t>竞买人凭身份证明及竞买保证金收据登记入场，每一个号牌限进</w:t>
      </w:r>
      <w:r>
        <w:rPr>
          <w:rFonts w:hint="eastAsia" w:ascii="宋体" w:hAnsi="宋体"/>
          <w:b/>
          <w:bCs/>
          <w:sz w:val="24"/>
          <w:highlight w:val="none"/>
          <w:lang w:val="en-US" w:eastAsia="zh-CN"/>
        </w:rPr>
        <w:t>2</w:t>
      </w:r>
      <w:r>
        <w:rPr>
          <w:rFonts w:hint="default" w:ascii="宋体" w:hAnsi="宋体"/>
          <w:b/>
          <w:bCs/>
          <w:sz w:val="24"/>
          <w:highlight w:val="none"/>
        </w:rPr>
        <w:t>人。</w:t>
      </w:r>
      <w:r>
        <w:rPr>
          <w:rFonts w:hint="default" w:ascii="宋体" w:hAnsi="宋体"/>
          <w:sz w:val="24"/>
          <w:highlight w:val="none"/>
        </w:rPr>
        <w:t>在拍卖会现场，任何举牌应价的行为均视为竞买</w:t>
      </w:r>
      <w:r>
        <w:rPr>
          <w:rFonts w:hint="default" w:ascii="宋体" w:hAnsi="宋体"/>
          <w:sz w:val="24"/>
        </w:rPr>
        <w:t>人本人的意思，其后果均由号牌对应的竞买人承担。如参加现场拍卖的为非报名者本人，则须提交报名者亲笔签名的授权委托书（本授权书应标明授权范围，包括现场举牌应价、拍卖成交确认书和拍卖笔录的签署等）同时被授权人须出示身份证原件，提交身份证复印件。</w:t>
      </w:r>
    </w:p>
    <w:p w14:paraId="2F8E1593">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eastAsia" w:ascii="宋体" w:hAnsi="宋体"/>
          <w:b/>
          <w:bCs/>
          <w:sz w:val="24"/>
        </w:rPr>
      </w:pPr>
      <w:r>
        <w:rPr>
          <w:rFonts w:hint="default" w:ascii="宋体" w:hAnsi="宋体"/>
          <w:b/>
          <w:bCs/>
          <w:sz w:val="24"/>
        </w:rPr>
        <w:t>注：一个委托代理人只能接受一个竞买人的委托，且竞买人之间不得相互委托。</w:t>
      </w:r>
    </w:p>
    <w:p w14:paraId="4949B7DD">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178" w:rightChars="-85" w:firstLine="482" w:firstLineChars="200"/>
        <w:textAlignment w:val="auto"/>
        <w:rPr>
          <w:rFonts w:hint="eastAsia" w:ascii="宋体" w:hAnsi="宋体"/>
          <w:sz w:val="24"/>
        </w:rPr>
      </w:pPr>
      <w:r>
        <w:rPr>
          <w:rFonts w:hint="default" w:ascii="宋体" w:hAnsi="宋体"/>
          <w:b/>
          <w:bCs/>
          <w:sz w:val="24"/>
        </w:rPr>
        <w:t>第九条</w:t>
      </w:r>
      <w:r>
        <w:rPr>
          <w:rFonts w:hint="eastAsia" w:ascii="宋体" w:hAnsi="宋体"/>
          <w:b/>
          <w:bCs/>
          <w:sz w:val="24"/>
          <w:lang w:val="en-US" w:eastAsia="zh-CN"/>
        </w:rPr>
        <w:t xml:space="preserve"> </w:t>
      </w:r>
      <w:r>
        <w:rPr>
          <w:rFonts w:hint="default" w:ascii="宋体" w:hAnsi="宋体"/>
          <w:sz w:val="24"/>
        </w:rPr>
        <w:t xml:space="preserve"> 竞买人一旦进入了拍卖会场，即表明已完全了解</w:t>
      </w:r>
      <w:r>
        <w:rPr>
          <w:rFonts w:hint="eastAsia" w:ascii="宋体" w:hAnsi="宋体"/>
          <w:sz w:val="24"/>
          <w:lang w:eastAsia="zh-CN"/>
        </w:rPr>
        <w:t>拍卖标的</w:t>
      </w:r>
      <w:r>
        <w:rPr>
          <w:rFonts w:hint="default" w:ascii="宋体" w:hAnsi="宋体"/>
          <w:sz w:val="24"/>
        </w:rPr>
        <w:t>的一切现状，接受</w:t>
      </w:r>
      <w:r>
        <w:rPr>
          <w:rFonts w:hint="eastAsia" w:ascii="宋体" w:hAnsi="宋体"/>
          <w:sz w:val="24"/>
          <w:lang w:eastAsia="zh-CN"/>
        </w:rPr>
        <w:t>拍卖标的</w:t>
      </w:r>
      <w:r>
        <w:rPr>
          <w:rFonts w:hint="default" w:ascii="宋体" w:hAnsi="宋体"/>
          <w:sz w:val="24"/>
        </w:rPr>
        <w:t>已知和未知的瑕疵、缺陷，对自己参加竞买的行为及其后对</w:t>
      </w:r>
      <w:r>
        <w:rPr>
          <w:rFonts w:hint="eastAsia" w:ascii="宋体" w:hAnsi="宋体"/>
          <w:sz w:val="24"/>
          <w:lang w:eastAsia="zh-CN"/>
        </w:rPr>
        <w:t>拍卖标的</w:t>
      </w:r>
      <w:r>
        <w:rPr>
          <w:rFonts w:hint="default" w:ascii="宋体" w:hAnsi="宋体"/>
          <w:sz w:val="24"/>
        </w:rPr>
        <w:t>的权利行使期间之各种风险、状态，自行承担法律责任。</w:t>
      </w:r>
    </w:p>
    <w:p w14:paraId="259E3A70">
      <w:pPr>
        <w:keepNext w:val="0"/>
        <w:keepLines w:val="0"/>
        <w:pageBreakBefore w:val="0"/>
        <w:widowControl w:val="0"/>
        <w:tabs>
          <w:tab w:val="left" w:pos="1995"/>
        </w:tabs>
        <w:kinsoku/>
        <w:wordWrap/>
        <w:overflowPunct/>
        <w:topLinePunct w:val="0"/>
        <w:autoSpaceDE/>
        <w:autoSpaceDN/>
        <w:bidi w:val="0"/>
        <w:adjustRightInd/>
        <w:snapToGrid/>
        <w:spacing w:line="500" w:lineRule="exact"/>
        <w:ind w:right="0" w:rightChars="0" w:firstLine="482" w:firstLineChars="200"/>
        <w:textAlignment w:val="auto"/>
        <w:rPr>
          <w:rFonts w:hint="eastAsia" w:ascii="宋体" w:hAnsi="宋体"/>
          <w:sz w:val="24"/>
        </w:rPr>
      </w:pPr>
      <w:r>
        <w:rPr>
          <w:rFonts w:hint="default" w:ascii="宋体" w:hAnsi="宋体"/>
          <w:b/>
          <w:bCs/>
          <w:sz w:val="24"/>
        </w:rPr>
        <w:t>第十条</w:t>
      </w: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b/>
          <w:bCs/>
          <w:sz w:val="24"/>
        </w:rPr>
        <w:t>本次拍卖采用“现场</w:t>
      </w:r>
      <w:r>
        <w:rPr>
          <w:rFonts w:hint="eastAsia" w:ascii="宋体" w:hAnsi="宋体"/>
          <w:b/>
          <w:bCs/>
          <w:sz w:val="24"/>
          <w:lang w:eastAsia="zh-CN"/>
        </w:rPr>
        <w:t>拍卖</w:t>
      </w:r>
      <w:r>
        <w:rPr>
          <w:rFonts w:hint="default" w:ascii="宋体" w:hAnsi="宋体"/>
          <w:b/>
          <w:bCs/>
          <w:sz w:val="24"/>
        </w:rPr>
        <w:t>”的方式，价高者得的原则，在规定报名时间内须有效报名2名及以上且必须到场拍卖，且至少1名有效出价，方可成交。</w:t>
      </w:r>
    </w:p>
    <w:p w14:paraId="6A4249F8">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sz w:val="24"/>
        </w:rPr>
      </w:pPr>
      <w:r>
        <w:rPr>
          <w:rFonts w:hint="default" w:ascii="宋体" w:hAnsi="宋体"/>
          <w:sz w:val="24"/>
        </w:rPr>
        <w:t>竞买过程中，竞买人及与会人员应严格遵守拍卖会的会场秩序。若发现竞买人恶意串通、操纵竞价或弄虚作假的行为，将取消其竞买资格并按《拍卖法》规定由竞买人承担相应的赔偿责任。竞买人一经应价，不得反悔，否则竞买人的竞买保证金不予返还，并且将承担由此引起的其他法律责任。竞买人如中途退场，将视为放弃竞买，不影响拍卖会的继续进行。</w:t>
      </w:r>
    </w:p>
    <w:p w14:paraId="45ABAC58">
      <w:pPr>
        <w:keepNext w:val="0"/>
        <w:keepLines w:val="0"/>
        <w:pageBreakBefore w:val="0"/>
        <w:widowControl w:val="0"/>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eastAsia" w:ascii="宋体" w:hAnsi="宋体"/>
          <w:sz w:val="24"/>
        </w:rPr>
      </w:pPr>
      <w:r>
        <w:rPr>
          <w:rFonts w:hint="default" w:ascii="宋体" w:hAnsi="宋体"/>
          <w:b/>
          <w:bCs/>
          <w:sz w:val="24"/>
        </w:rPr>
        <w:t>第十一条</w:t>
      </w:r>
      <w:r>
        <w:rPr>
          <w:rFonts w:hint="default" w:ascii="宋体" w:hAnsi="宋体"/>
          <w:sz w:val="24"/>
        </w:rPr>
        <w:t xml:space="preserve"> </w:t>
      </w:r>
      <w:r>
        <w:rPr>
          <w:rFonts w:hint="eastAsia" w:ascii="宋体" w:hAnsi="宋体"/>
          <w:b/>
          <w:bCs/>
          <w:sz w:val="24"/>
          <w:lang w:val="en-US" w:eastAsia="zh-CN"/>
        </w:rPr>
        <w:t xml:space="preserve"> </w:t>
      </w:r>
      <w:r>
        <w:rPr>
          <w:rFonts w:hint="default" w:ascii="宋体" w:hAnsi="宋体"/>
          <w:b/>
          <w:bCs/>
          <w:sz w:val="24"/>
        </w:rPr>
        <w:t>本次拍卖会举牌须知如下：</w:t>
      </w:r>
    </w:p>
    <w:p w14:paraId="27FA5123">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sz w:val="24"/>
        </w:rPr>
      </w:pPr>
      <w:r>
        <w:rPr>
          <w:rFonts w:hint="default" w:ascii="宋体" w:hAnsi="宋体"/>
          <w:sz w:val="24"/>
        </w:rPr>
        <w:t>本次拍卖标的设有保留价，不达到保留价不成交。保留价对外公开，保留价即为起拍价。拍卖计价货币为人民币。拍卖时的起拍价和成交价均为裸价，不包含</w:t>
      </w:r>
      <w:r>
        <w:rPr>
          <w:rFonts w:hint="eastAsia" w:ascii="宋体" w:hAnsi="宋体"/>
          <w:sz w:val="24"/>
          <w:lang w:eastAsia="zh-CN"/>
        </w:rPr>
        <w:t>任何</w:t>
      </w:r>
      <w:r>
        <w:rPr>
          <w:rFonts w:hint="default" w:ascii="宋体" w:hAnsi="宋体"/>
          <w:sz w:val="24"/>
        </w:rPr>
        <w:t>税</w:t>
      </w:r>
      <w:r>
        <w:rPr>
          <w:rFonts w:hint="eastAsia" w:ascii="宋体" w:hAnsi="宋体"/>
          <w:sz w:val="24"/>
          <w:lang w:eastAsia="zh-CN"/>
        </w:rPr>
        <w:t>、</w:t>
      </w:r>
      <w:r>
        <w:rPr>
          <w:rFonts w:hint="default" w:ascii="宋体" w:hAnsi="宋体"/>
          <w:sz w:val="24"/>
        </w:rPr>
        <w:t>费及买受佣金。</w:t>
      </w:r>
    </w:p>
    <w:p w14:paraId="6D41A780">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宋体" w:hAnsi="宋体" w:eastAsia="宋体" w:cs="Times New Roman"/>
          <w:sz w:val="24"/>
        </w:rPr>
      </w:pPr>
      <w:r>
        <w:rPr>
          <w:rFonts w:hint="default" w:ascii="宋体" w:hAnsi="宋体"/>
          <w:sz w:val="24"/>
        </w:rPr>
        <w:t>拍卖时，先由拍卖师宣布起拍价，然后报出加价幅度。竞买人可举牌应价或按规定的加价幅度</w:t>
      </w:r>
      <w:r>
        <w:rPr>
          <w:rFonts w:hint="default" w:ascii="宋体" w:hAnsi="宋体" w:eastAsia="宋体" w:cs="Times New Roman"/>
          <w:sz w:val="24"/>
        </w:rPr>
        <w:t>竞价，也可自行报价。应价、报价须等于或者高于规定的加价幅度（且必须为加价幅度的整数倍），低于加价幅度的应价、报价无效；若场上出现二人以上同时举牌应价，拍卖师可指定其中一人并确认其应价有效。同时，拍卖师有权根据现场情况随时调整加价幅度。当会场上出现唯一的最高价格，且无人继续加价后，经拍卖师确认达到或超过保留价，落槌表示拍卖成交。</w:t>
      </w:r>
    </w:p>
    <w:p w14:paraId="77C75476">
      <w:pPr>
        <w:keepNext w:val="0"/>
        <w:keepLines w:val="0"/>
        <w:pageBreakBefore w:val="0"/>
        <w:widowControl w:val="0"/>
        <w:tabs>
          <w:tab w:val="left" w:pos="1995"/>
        </w:tabs>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宋体" w:hAnsi="宋体" w:eastAsia="宋体" w:cs="Times New Roman"/>
          <w:sz w:val="24"/>
        </w:rPr>
      </w:pPr>
      <w:r>
        <w:rPr>
          <w:rFonts w:hint="eastAsia" w:ascii="宋体" w:hAnsi="宋体" w:eastAsia="宋体" w:cs="Times New Roman"/>
          <w:sz w:val="24"/>
        </w:rPr>
        <w:t>若</w:t>
      </w:r>
      <w:r>
        <w:rPr>
          <w:rFonts w:hint="eastAsia" w:ascii="宋体" w:hAnsi="宋体" w:eastAsia="宋体" w:cs="Times New Roman"/>
          <w:sz w:val="24"/>
          <w:lang w:eastAsia="zh-CN"/>
        </w:rPr>
        <w:t>本次拍卖</w:t>
      </w:r>
      <w:r>
        <w:rPr>
          <w:rFonts w:hint="eastAsia" w:ascii="宋体" w:hAnsi="宋体" w:eastAsia="宋体" w:cs="Times New Roman"/>
          <w:sz w:val="24"/>
        </w:rPr>
        <w:t>有优先权人参加，当会场上出现唯一的最高价格，</w:t>
      </w:r>
      <w:r>
        <w:rPr>
          <w:rFonts w:hint="eastAsia" w:ascii="宋体" w:hAnsi="宋体" w:eastAsia="宋体" w:cs="Times New Roman"/>
          <w:sz w:val="24"/>
          <w:lang w:eastAsia="zh-CN"/>
        </w:rPr>
        <w:t>拍卖师</w:t>
      </w:r>
      <w:r>
        <w:rPr>
          <w:rFonts w:hint="eastAsia" w:ascii="宋体" w:hAnsi="宋体" w:eastAsia="宋体" w:cs="Times New Roman"/>
          <w:sz w:val="24"/>
        </w:rPr>
        <w:t>应征得优先权人的意见后落槌，优先权人可以表示以该最高价买受，如无更高应价，则买受人为优先权人；如有更高应价，而优先权人不作表示的，则买受人为该应价最高的竞买人。</w:t>
      </w:r>
    </w:p>
    <w:p w14:paraId="161E9C66">
      <w:pPr>
        <w:keepNext w:val="0"/>
        <w:keepLines w:val="0"/>
        <w:pageBreakBefore w:val="0"/>
        <w:widowControl w:val="0"/>
        <w:numPr>
          <w:ilvl w:val="0"/>
          <w:numId w:val="0"/>
        </w:numPr>
        <w:tabs>
          <w:tab w:val="left" w:pos="1995"/>
        </w:tabs>
        <w:kinsoku/>
        <w:wordWrap/>
        <w:overflowPunct/>
        <w:topLinePunct w:val="0"/>
        <w:autoSpaceDE/>
        <w:autoSpaceDN/>
        <w:bidi w:val="0"/>
        <w:adjustRightInd/>
        <w:spacing w:line="500" w:lineRule="exact"/>
        <w:ind w:right="-178" w:rightChars="-85" w:firstLine="482" w:firstLineChars="200"/>
        <w:textAlignment w:val="auto"/>
        <w:rPr>
          <w:rFonts w:hint="eastAsia" w:ascii="宋体" w:hAnsi="宋体" w:eastAsia="宋体" w:cs="Times New Roman"/>
          <w:color w:val="auto"/>
          <w:sz w:val="24"/>
          <w:u w:val="none"/>
          <w:lang w:eastAsia="zh-CN"/>
        </w:rPr>
      </w:pPr>
      <w:r>
        <w:rPr>
          <w:rFonts w:hint="eastAsia" w:ascii="宋体" w:hAnsi="宋体" w:eastAsia="宋体" w:cs="Times New Roman"/>
          <w:b/>
          <w:bCs/>
          <w:color w:val="auto"/>
          <w:sz w:val="24"/>
          <w:u w:val="none"/>
          <w:lang w:val="en-US" w:eastAsia="zh-CN"/>
        </w:rPr>
        <w:t xml:space="preserve">第十二条  </w:t>
      </w:r>
      <w:r>
        <w:rPr>
          <w:rFonts w:hint="default" w:ascii="宋体" w:hAnsi="宋体"/>
          <w:sz w:val="24"/>
        </w:rPr>
        <w:t>买受人是指以最高有效应价竞得拍卖标的</w:t>
      </w:r>
      <w:r>
        <w:rPr>
          <w:rFonts w:hint="eastAsia" w:ascii="宋体" w:hAnsi="宋体"/>
          <w:sz w:val="24"/>
          <w:lang w:eastAsia="zh-CN"/>
        </w:rPr>
        <w:t>的</w:t>
      </w:r>
      <w:r>
        <w:rPr>
          <w:rFonts w:hint="default" w:ascii="宋体" w:hAnsi="宋体"/>
          <w:sz w:val="24"/>
        </w:rPr>
        <w:t>竞买人。拍卖成交后，买受人须与拍卖人当场签署《拍卖成交确认书》并在《拍卖笔录》上签名或盖章。上述文件不论买受人是否签署，其全部条款即对买受人产生约束力并生效。</w:t>
      </w:r>
    </w:p>
    <w:p w14:paraId="63F1B3DB">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eastAsia="宋体" w:cs="Times New Roman"/>
          <w:b/>
          <w:color w:val="auto"/>
          <w:sz w:val="28"/>
          <w:szCs w:val="28"/>
          <w:lang w:eastAsia="zh-CN"/>
        </w:rPr>
      </w:pPr>
      <w:r>
        <w:rPr>
          <w:rFonts w:hint="eastAsia" w:ascii="宋体" w:hAnsi="宋体" w:eastAsia="宋体" w:cs="Times New Roman"/>
          <w:b/>
          <w:color w:val="auto"/>
          <w:sz w:val="28"/>
          <w:szCs w:val="28"/>
          <w:lang w:eastAsia="zh-CN"/>
        </w:rPr>
        <w:t>拍卖后期工作</w:t>
      </w:r>
    </w:p>
    <w:p w14:paraId="3F925762">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178" w:rightChars="-85" w:firstLine="482" w:firstLineChars="200"/>
        <w:textAlignment w:val="auto"/>
        <w:rPr>
          <w:rFonts w:hint="default" w:ascii="宋体" w:hAnsi="宋体"/>
          <w:sz w:val="24"/>
        </w:rPr>
      </w:pPr>
      <w:r>
        <w:rPr>
          <w:rFonts w:hint="eastAsia" w:ascii="宋体" w:hAnsi="宋体" w:eastAsia="宋体" w:cs="Times New Roman"/>
          <w:b/>
          <w:bCs/>
          <w:color w:val="auto"/>
          <w:sz w:val="24"/>
          <w:u w:val="none"/>
          <w:lang w:val="en-US" w:eastAsia="zh-CN"/>
        </w:rPr>
        <w:t xml:space="preserve">第十三条  </w:t>
      </w:r>
      <w:r>
        <w:rPr>
          <w:rFonts w:hint="default" w:ascii="宋体" w:hAnsi="宋体"/>
          <w:sz w:val="24"/>
        </w:rPr>
        <w:t>拍卖会结束后，由拍卖人当场向买受人发放《拍卖成交确认书》。</w:t>
      </w:r>
    </w:p>
    <w:p w14:paraId="51310422">
      <w:pPr>
        <w:keepNext w:val="0"/>
        <w:keepLines w:val="0"/>
        <w:pageBreakBefore w:val="0"/>
        <w:widowControl w:val="0"/>
        <w:numPr>
          <w:ilvl w:val="0"/>
          <w:numId w:val="0"/>
        </w:numPr>
        <w:tabs>
          <w:tab w:val="left" w:pos="1995"/>
        </w:tabs>
        <w:kinsoku/>
        <w:wordWrap/>
        <w:overflowPunct/>
        <w:topLinePunct w:val="0"/>
        <w:autoSpaceDE/>
        <w:autoSpaceDN/>
        <w:bidi w:val="0"/>
        <w:adjustRightInd/>
        <w:snapToGrid/>
        <w:spacing w:line="500" w:lineRule="exact"/>
        <w:ind w:right="-178" w:rightChars="-85" w:firstLine="480" w:firstLineChars="200"/>
        <w:textAlignment w:val="auto"/>
        <w:rPr>
          <w:rFonts w:hint="eastAsia" w:ascii="宋体" w:hAnsi="宋体" w:eastAsia="宋体" w:cs="Times New Roman"/>
          <w:color w:val="auto"/>
          <w:sz w:val="24"/>
          <w:u w:val="none"/>
          <w:lang w:val="en-US" w:eastAsia="zh-CN"/>
        </w:rPr>
      </w:pPr>
      <w:r>
        <w:rPr>
          <w:rFonts w:hint="eastAsia" w:ascii="宋体" w:hAnsi="宋体" w:eastAsia="宋体" w:cs="Times New Roman"/>
          <w:color w:val="auto"/>
          <w:sz w:val="24"/>
          <w:u w:val="none"/>
          <w:lang w:eastAsia="zh-CN"/>
        </w:rPr>
        <w:t>未竞得拍卖标的的竞买人，在拍卖会结束后的3个工作日内，由拍卖人凭竞买人报名时登记的户名及账号退还竞买保证金（按交款当日银行同期活期存款利率计息）；买受人的竞买保证金（按</w:t>
      </w:r>
      <w:r>
        <w:rPr>
          <w:rFonts w:hint="eastAsia" w:ascii="宋体" w:hAnsi="宋体" w:cs="Times New Roman"/>
          <w:color w:val="auto"/>
          <w:sz w:val="24"/>
          <w:u w:val="none"/>
          <w:lang w:eastAsia="zh-CN"/>
        </w:rPr>
        <w:t>交款当日</w:t>
      </w:r>
      <w:r>
        <w:rPr>
          <w:rFonts w:hint="eastAsia" w:ascii="宋体" w:hAnsi="宋体" w:eastAsia="宋体" w:cs="Times New Roman"/>
          <w:color w:val="auto"/>
          <w:sz w:val="24"/>
          <w:u w:val="none"/>
          <w:lang w:eastAsia="zh-CN"/>
        </w:rPr>
        <w:t>银行同期活期存款利率计息）凭《</w:t>
      </w:r>
      <w:r>
        <w:rPr>
          <w:rFonts w:hint="eastAsia" w:ascii="宋体" w:hAnsi="宋体" w:eastAsia="宋体" w:cs="Times New Roman"/>
          <w:color w:val="auto"/>
          <w:sz w:val="24"/>
          <w:u w:val="none"/>
          <w:lang w:val="en-US" w:eastAsia="zh-CN"/>
        </w:rPr>
        <w:t>土石料买卖合同</w:t>
      </w:r>
      <w:r>
        <w:rPr>
          <w:rFonts w:hint="eastAsia" w:ascii="宋体" w:hAnsi="宋体" w:eastAsia="宋体" w:cs="Times New Roman"/>
          <w:color w:val="auto"/>
          <w:sz w:val="24"/>
          <w:u w:val="none"/>
          <w:lang w:eastAsia="zh-CN"/>
        </w:rPr>
        <w:t>》复印件到拍卖人处退还。</w:t>
      </w:r>
      <w:r>
        <w:rPr>
          <w:rFonts w:hint="eastAsia" w:ascii="宋体" w:hAnsi="宋体" w:eastAsia="宋体" w:cs="Times New Roman"/>
          <w:color w:val="auto"/>
          <w:sz w:val="24"/>
          <w:u w:val="none"/>
          <w:lang w:val="en-US" w:eastAsia="zh-CN"/>
        </w:rPr>
        <w:t xml:space="preserve">  </w:t>
      </w:r>
    </w:p>
    <w:p w14:paraId="7D86B32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2" w:firstLineChars="200"/>
        <w:jc w:val="left"/>
        <w:textAlignment w:val="auto"/>
        <w:rPr>
          <w:rFonts w:hint="eastAsia" w:ascii="宋体" w:hAnsi="宋体"/>
          <w:b/>
          <w:bCs/>
          <w:color w:val="auto"/>
          <w:sz w:val="24"/>
        </w:rPr>
      </w:pPr>
      <w:r>
        <w:rPr>
          <w:rFonts w:hint="eastAsia" w:ascii="宋体" w:hAnsi="宋体" w:eastAsia="宋体" w:cs="Times New Roman"/>
          <w:b/>
          <w:bCs/>
          <w:color w:val="auto"/>
          <w:sz w:val="24"/>
          <w:u w:val="none"/>
          <w:lang w:eastAsia="zh-CN"/>
        </w:rPr>
        <w:t>如未收到竞买保证金的，请及时与拍卖人联系（0574-62727901）。</w:t>
      </w:r>
    </w:p>
    <w:p w14:paraId="39086684">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auto"/>
        <w:rPr>
          <w:rFonts w:hint="eastAsia" w:ascii="宋体" w:hAnsi="宋体"/>
          <w:sz w:val="24"/>
          <w:highlight w:val="none"/>
          <w:lang w:eastAsia="zh-CN"/>
        </w:rPr>
      </w:pPr>
      <w:r>
        <w:rPr>
          <w:rFonts w:hint="eastAsia" w:ascii="宋体" w:hAnsi="宋体" w:eastAsia="宋体" w:cs="宋体"/>
          <w:b/>
          <w:color w:val="auto"/>
          <w:kern w:val="0"/>
          <w:sz w:val="24"/>
          <w:highlight w:val="none"/>
          <w:lang w:eastAsia="zh-CN"/>
        </w:rPr>
        <w:t>第十四条</w:t>
      </w: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rPr>
        <w:t>付款</w:t>
      </w:r>
      <w:r>
        <w:rPr>
          <w:rFonts w:hint="eastAsia" w:ascii="宋体" w:hAnsi="宋体" w:cs="宋体"/>
          <w:b/>
          <w:color w:val="auto"/>
          <w:kern w:val="0"/>
          <w:sz w:val="24"/>
          <w:highlight w:val="none"/>
        </w:rPr>
        <w:t>办法及签约时间</w:t>
      </w:r>
      <w:r>
        <w:rPr>
          <w:rFonts w:hint="eastAsia" w:ascii="宋体" w:hAnsi="宋体" w:cs="宋体"/>
          <w:b/>
          <w:color w:val="auto"/>
          <w:kern w:val="0"/>
          <w:sz w:val="24"/>
          <w:highlight w:val="none"/>
          <w:lang w:eastAsia="zh-CN"/>
        </w:rPr>
        <w:t>：</w:t>
      </w:r>
      <w:r>
        <w:rPr>
          <w:rFonts w:hint="eastAsia" w:ascii="宋体" w:hAnsi="宋体" w:cs="宋体"/>
          <w:b w:val="0"/>
          <w:bCs/>
          <w:color w:val="000000"/>
          <w:kern w:val="0"/>
          <w:sz w:val="24"/>
          <w:highlight w:val="none"/>
        </w:rPr>
        <w:t>买受人</w:t>
      </w:r>
      <w:r>
        <w:rPr>
          <w:rFonts w:hint="eastAsia" w:ascii="宋体" w:hAnsi="宋体" w:cs="宋体"/>
          <w:color w:val="000000"/>
          <w:kern w:val="0"/>
          <w:sz w:val="24"/>
          <w:highlight w:val="none"/>
        </w:rPr>
        <w:t>须在</w:t>
      </w:r>
      <w:r>
        <w:rPr>
          <w:rFonts w:hint="eastAsia" w:ascii="宋体" w:hAnsi="宋体" w:cs="宋体"/>
          <w:color w:val="000000"/>
          <w:kern w:val="0"/>
          <w:sz w:val="24"/>
          <w:highlight w:val="none"/>
          <w:lang w:val="en-US" w:eastAsia="zh-CN"/>
        </w:rPr>
        <w:t>2024</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9</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23</w:t>
      </w:r>
      <w:r>
        <w:rPr>
          <w:rFonts w:ascii="宋体" w:hAnsi="宋体" w:cs="宋体"/>
          <w:color w:val="000000"/>
          <w:kern w:val="0"/>
          <w:sz w:val="24"/>
          <w:highlight w:val="none"/>
        </w:rPr>
        <w:t>日下午4时</w:t>
      </w:r>
      <w:r>
        <w:rPr>
          <w:rFonts w:hint="eastAsia" w:ascii="宋体" w:hAnsi="宋体" w:cs="宋体"/>
          <w:color w:val="000000"/>
          <w:kern w:val="0"/>
          <w:sz w:val="24"/>
          <w:highlight w:val="none"/>
          <w:lang w:eastAsia="zh-CN"/>
        </w:rPr>
        <w:t>前</w:t>
      </w:r>
      <w:r>
        <w:rPr>
          <w:rFonts w:ascii="宋体" w:hAnsi="宋体" w:cs="宋体"/>
          <w:b/>
          <w:bCs/>
          <w:color w:val="000000"/>
          <w:kern w:val="0"/>
          <w:sz w:val="24"/>
          <w:highlight w:val="none"/>
        </w:rPr>
        <w:t>（以实际到账为准）</w:t>
      </w:r>
      <w:r>
        <w:rPr>
          <w:rFonts w:ascii="宋体" w:hAnsi="宋体" w:cs="宋体"/>
          <w:color w:val="000000"/>
          <w:kern w:val="0"/>
          <w:sz w:val="24"/>
          <w:highlight w:val="none"/>
        </w:rPr>
        <w:t>向</w:t>
      </w:r>
      <w:r>
        <w:rPr>
          <w:rFonts w:hint="eastAsia" w:ascii="宋体" w:hAnsi="宋体" w:cs="宋体"/>
          <w:color w:val="000000"/>
          <w:kern w:val="0"/>
          <w:sz w:val="24"/>
          <w:highlight w:val="none"/>
          <w:lang w:eastAsia="zh-CN"/>
        </w:rPr>
        <w:t>委托人</w:t>
      </w:r>
      <w:r>
        <w:rPr>
          <w:rFonts w:ascii="宋体" w:hAnsi="宋体" w:cs="宋体"/>
          <w:kern w:val="0"/>
          <w:sz w:val="24"/>
          <w:highlight w:val="none"/>
        </w:rPr>
        <w:t>一次性付清</w:t>
      </w:r>
      <w:r>
        <w:rPr>
          <w:rFonts w:hint="eastAsia" w:ascii="宋体" w:hAnsi="宋体" w:cs="宋体"/>
          <w:kern w:val="0"/>
          <w:sz w:val="24"/>
          <w:highlight w:val="none"/>
          <w:lang w:eastAsia="zh-CN"/>
        </w:rPr>
        <w:t>拍卖成交款</w:t>
      </w:r>
      <w:r>
        <w:rPr>
          <w:rFonts w:hint="eastAsia" w:ascii="宋体" w:hAnsi="宋体"/>
          <w:sz w:val="24"/>
          <w:highlight w:val="none"/>
          <w:lang w:eastAsia="zh-CN"/>
        </w:rPr>
        <w:t>和</w:t>
      </w:r>
      <w:r>
        <w:rPr>
          <w:rFonts w:ascii="宋体" w:hAnsi="宋体"/>
          <w:sz w:val="24"/>
          <w:highlight w:val="none"/>
        </w:rPr>
        <w:t>履约保证金</w:t>
      </w:r>
      <w:r>
        <w:rPr>
          <w:rFonts w:hint="eastAsia" w:ascii="宋体" w:hAnsi="宋体"/>
          <w:sz w:val="24"/>
          <w:highlight w:val="none"/>
          <w:lang w:eastAsia="zh-CN"/>
        </w:rPr>
        <w:t>，</w:t>
      </w:r>
      <w:r>
        <w:rPr>
          <w:rFonts w:hint="eastAsia" w:ascii="宋体" w:hAnsi="宋体" w:cs="宋体"/>
          <w:color w:val="000000"/>
          <w:kern w:val="0"/>
          <w:sz w:val="24"/>
          <w:highlight w:val="none"/>
          <w:lang w:eastAsia="zh-CN"/>
        </w:rPr>
        <w:t>同时向拍卖人支付</w:t>
      </w:r>
      <w:r>
        <w:rPr>
          <w:rFonts w:hint="eastAsia" w:ascii="宋体" w:hAnsi="宋体"/>
          <w:sz w:val="24"/>
          <w:highlight w:val="none"/>
          <w:lang w:eastAsia="zh-CN"/>
        </w:rPr>
        <w:t>拍卖</w:t>
      </w:r>
      <w:r>
        <w:rPr>
          <w:rFonts w:hint="eastAsia" w:ascii="宋体" w:hAnsi="宋体"/>
          <w:sz w:val="24"/>
          <w:highlight w:val="none"/>
        </w:rPr>
        <w:t>成交价</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sz w:val="24"/>
          <w:highlight w:val="none"/>
        </w:rPr>
        <w:t>的买受佣金</w:t>
      </w:r>
      <w:r>
        <w:rPr>
          <w:rFonts w:hint="eastAsia" w:ascii="宋体" w:hAnsi="宋体" w:cs="宋体"/>
          <w:color w:val="000000"/>
          <w:kern w:val="0"/>
          <w:sz w:val="24"/>
          <w:highlight w:val="none"/>
        </w:rPr>
        <w:t>，</w:t>
      </w:r>
      <w:r>
        <w:rPr>
          <w:rFonts w:hint="eastAsia" w:ascii="宋体" w:hAnsi="宋体"/>
          <w:sz w:val="24"/>
          <w:highlight w:val="none"/>
          <w:lang w:eastAsia="zh-CN"/>
        </w:rPr>
        <w:t>然后于</w:t>
      </w:r>
      <w:r>
        <w:rPr>
          <w:rFonts w:hint="eastAsia" w:ascii="宋体" w:hAnsi="宋体"/>
          <w:sz w:val="24"/>
          <w:highlight w:val="none"/>
          <w:lang w:val="en-US" w:eastAsia="zh-CN"/>
        </w:rPr>
        <w:t>2024</w:t>
      </w:r>
      <w:r>
        <w:rPr>
          <w:rFonts w:ascii="宋体" w:hAnsi="宋体" w:cs="宋体"/>
          <w:kern w:val="0"/>
          <w:sz w:val="24"/>
          <w:highlight w:val="none"/>
        </w:rPr>
        <w:t>年</w:t>
      </w:r>
      <w:r>
        <w:rPr>
          <w:rFonts w:hint="eastAsia" w:ascii="宋体" w:hAnsi="宋体" w:cs="宋体"/>
          <w:kern w:val="0"/>
          <w:sz w:val="24"/>
          <w:highlight w:val="none"/>
          <w:lang w:val="en-US" w:eastAsia="zh-CN"/>
        </w:rPr>
        <w:t>9</w:t>
      </w:r>
      <w:r>
        <w:rPr>
          <w:rFonts w:ascii="宋体" w:hAnsi="宋体" w:cs="宋体"/>
          <w:kern w:val="0"/>
          <w:sz w:val="24"/>
          <w:highlight w:val="none"/>
        </w:rPr>
        <w:t>月</w:t>
      </w:r>
      <w:r>
        <w:rPr>
          <w:rFonts w:hint="eastAsia" w:ascii="宋体" w:hAnsi="宋体" w:cs="宋体"/>
          <w:kern w:val="0"/>
          <w:sz w:val="24"/>
          <w:highlight w:val="none"/>
          <w:lang w:val="en-US" w:eastAsia="zh-CN"/>
        </w:rPr>
        <w:t>24</w:t>
      </w:r>
      <w:r>
        <w:rPr>
          <w:rFonts w:ascii="宋体" w:hAnsi="宋体" w:cs="宋体"/>
          <w:kern w:val="0"/>
          <w:sz w:val="24"/>
          <w:highlight w:val="none"/>
        </w:rPr>
        <w:t>日</w:t>
      </w:r>
      <w:r>
        <w:rPr>
          <w:rFonts w:hint="eastAsia" w:ascii="宋体" w:hAnsi="宋体" w:cs="宋体"/>
          <w:kern w:val="0"/>
          <w:sz w:val="24"/>
          <w:highlight w:val="none"/>
          <w:lang w:val="en-US" w:eastAsia="zh-CN"/>
        </w:rPr>
        <w:t>-25日</w:t>
      </w:r>
      <w:r>
        <w:rPr>
          <w:rFonts w:hint="eastAsia" w:ascii="宋体" w:hAnsi="宋体" w:cs="宋体"/>
          <w:sz w:val="24"/>
          <w:highlight w:val="none"/>
        </w:rPr>
        <w:t>（上午9:00—11:00，下午2:</w:t>
      </w:r>
      <w:r>
        <w:rPr>
          <w:rFonts w:hint="eastAsia" w:ascii="宋体" w:hAnsi="宋体" w:cs="宋体"/>
          <w:sz w:val="24"/>
          <w:highlight w:val="none"/>
          <w:lang w:val="en-US" w:eastAsia="zh-CN"/>
        </w:rPr>
        <w:t>3</w:t>
      </w:r>
      <w:r>
        <w:rPr>
          <w:rFonts w:hint="eastAsia" w:ascii="宋体" w:hAnsi="宋体" w:cs="宋体"/>
          <w:sz w:val="24"/>
          <w:highlight w:val="none"/>
        </w:rPr>
        <w:t>0-4:</w:t>
      </w:r>
      <w:r>
        <w:rPr>
          <w:rFonts w:hint="eastAsia" w:ascii="宋体" w:hAnsi="宋体" w:cs="宋体"/>
          <w:sz w:val="24"/>
          <w:highlight w:val="none"/>
          <w:lang w:val="en-US" w:eastAsia="zh-CN"/>
        </w:rPr>
        <w:t>3</w:t>
      </w:r>
      <w:r>
        <w:rPr>
          <w:rFonts w:hint="eastAsia" w:ascii="宋体" w:hAnsi="宋体" w:cs="宋体"/>
          <w:sz w:val="24"/>
          <w:highlight w:val="none"/>
        </w:rPr>
        <w:t>0）</w:t>
      </w:r>
      <w:r>
        <w:rPr>
          <w:rFonts w:hint="eastAsia" w:ascii="宋体" w:hAnsi="宋体" w:cs="宋体"/>
          <w:kern w:val="0"/>
          <w:sz w:val="24"/>
          <w:highlight w:val="none"/>
          <w:lang w:val="en-US" w:eastAsia="zh-CN"/>
        </w:rPr>
        <w:t>与</w:t>
      </w:r>
      <w:r>
        <w:rPr>
          <w:rFonts w:hint="eastAsia" w:ascii="宋体" w:hAnsi="宋体" w:cs="宋体"/>
          <w:color w:val="000000"/>
          <w:kern w:val="0"/>
          <w:sz w:val="24"/>
          <w:highlight w:val="none"/>
          <w:lang w:eastAsia="zh-CN"/>
        </w:rPr>
        <w:t>委托人</w:t>
      </w:r>
      <w:r>
        <w:rPr>
          <w:rFonts w:ascii="宋体" w:hAnsi="宋体"/>
          <w:sz w:val="24"/>
          <w:highlight w:val="none"/>
        </w:rPr>
        <w:t>签订《</w:t>
      </w:r>
      <w:r>
        <w:rPr>
          <w:rFonts w:hint="eastAsia" w:ascii="宋体" w:hAnsi="宋体"/>
          <w:sz w:val="24"/>
          <w:highlight w:val="none"/>
          <w:lang w:eastAsia="zh-CN"/>
        </w:rPr>
        <w:t>土石料买卖合同</w:t>
      </w:r>
      <w:r>
        <w:rPr>
          <w:rFonts w:ascii="宋体" w:hAnsi="宋体"/>
          <w:sz w:val="24"/>
          <w:highlight w:val="none"/>
        </w:rPr>
        <w:t>》</w:t>
      </w:r>
      <w:r>
        <w:rPr>
          <w:rFonts w:hint="eastAsia" w:ascii="宋体" w:hAnsi="宋体"/>
          <w:sz w:val="24"/>
          <w:highlight w:val="none"/>
          <w:lang w:eastAsia="zh-CN"/>
        </w:rPr>
        <w:t>。</w:t>
      </w:r>
    </w:p>
    <w:p w14:paraId="54FE78D8">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b/>
          <w:bCs/>
          <w:sz w:val="24"/>
          <w:highlight w:val="none"/>
          <w:lang w:eastAsia="zh-CN"/>
        </w:rPr>
        <w:t>拍卖成交款</w:t>
      </w:r>
      <w:r>
        <w:rPr>
          <w:rFonts w:ascii="宋体" w:hAnsi="宋体"/>
          <w:b/>
          <w:bCs/>
          <w:sz w:val="24"/>
          <w:highlight w:val="none"/>
        </w:rPr>
        <w:t>和履约保证金</w:t>
      </w:r>
      <w:r>
        <w:rPr>
          <w:rFonts w:hint="eastAsia" w:ascii="宋体" w:hAnsi="宋体" w:eastAsia="宋体" w:cs="Times New Roman"/>
          <w:b/>
          <w:bCs/>
          <w:color w:val="auto"/>
          <w:sz w:val="24"/>
          <w:highlight w:val="none"/>
          <w:lang w:val="en-US" w:eastAsia="zh-CN"/>
        </w:rPr>
        <w:t>请汇入委托人账户</w:t>
      </w:r>
      <w:r>
        <w:rPr>
          <w:rFonts w:hint="eastAsia" w:ascii="宋体" w:hAnsi="宋体" w:eastAsia="宋体" w:cs="Times New Roman"/>
          <w:color w:val="000000" w:themeColor="text1"/>
          <w:sz w:val="24"/>
          <w:highlight w:val="none"/>
          <w:lang w:val="en-US" w:eastAsia="zh-CN"/>
          <w14:textFill>
            <w14:solidFill>
              <w14:schemeClr w14:val="tx1"/>
            </w14:solidFill>
          </w14:textFill>
        </w:rPr>
        <w:t>（户名：宁波舜通集团有限公司；开户银行：建设银行余姚支行；账号：33101995236050178609）</w:t>
      </w:r>
      <w:r>
        <w:rPr>
          <w:rFonts w:hint="eastAsia" w:ascii="宋体" w:hAnsi="宋体" w:eastAsia="宋体" w:cs="宋体"/>
          <w:color w:val="000000" w:themeColor="text1"/>
          <w:sz w:val="24"/>
          <w:highlight w:val="none"/>
          <w14:textFill>
            <w14:solidFill>
              <w14:schemeClr w14:val="tx1"/>
            </w14:solidFill>
          </w14:textFill>
        </w:rPr>
        <w:t>。</w:t>
      </w:r>
    </w:p>
    <w:p w14:paraId="7E2B4391">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买受佣金请汇入拍卖人账户</w:t>
      </w:r>
      <w:r>
        <w:rPr>
          <w:rFonts w:hint="eastAsia"/>
          <w:color w:val="000000" w:themeColor="text1"/>
          <w:sz w:val="24"/>
          <w14:textFill>
            <w14:solidFill>
              <w14:schemeClr w14:val="tx1"/>
            </w14:solidFill>
          </w14:textFill>
        </w:rPr>
        <w:t>（户名：宁波阳明拍卖有限公司，开户行：中信银行余姚支行，账号：</w:t>
      </w:r>
      <w:r>
        <w:rPr>
          <w:rFonts w:hint="eastAsia" w:ascii="宋体" w:hAnsi="宋体" w:eastAsia="宋体" w:cs="Times New Roman"/>
          <w:color w:val="000000" w:themeColor="text1"/>
          <w:sz w:val="24"/>
          <w:highlight w:val="none"/>
          <w:lang w:val="en-US" w:eastAsia="zh-CN"/>
          <w14:textFill>
            <w14:solidFill>
              <w14:schemeClr w14:val="tx1"/>
            </w14:solidFill>
          </w14:textFill>
        </w:rPr>
        <w:t>8114701084445008888</w:t>
      </w:r>
      <w:r>
        <w:rPr>
          <w:rFonts w:hint="eastAsia"/>
          <w:color w:val="000000" w:themeColor="text1"/>
          <w:sz w:val="24"/>
          <w14:textFill>
            <w14:solidFill>
              <w14:schemeClr w14:val="tx1"/>
            </w14:solidFill>
          </w14:textFill>
        </w:rPr>
        <w:t>）。</w:t>
      </w:r>
    </w:p>
    <w:p w14:paraId="7B28B16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拍卖</w:t>
      </w:r>
      <w:r>
        <w:rPr>
          <w:rFonts w:ascii="宋体" w:hAnsi="宋体" w:cs="宋体"/>
          <w:color w:val="000000" w:themeColor="text1"/>
          <w:kern w:val="0"/>
          <w:sz w:val="24"/>
          <w:highlight w:val="none"/>
          <w14:textFill>
            <w14:solidFill>
              <w14:schemeClr w14:val="tx1"/>
            </w14:solidFill>
          </w14:textFill>
        </w:rPr>
        <w:t>人出具买受佣金发票，</w:t>
      </w:r>
      <w:r>
        <w:rPr>
          <w:rFonts w:hint="eastAsia" w:ascii="宋体" w:hAnsi="宋体" w:cs="宋体"/>
          <w:color w:val="000000" w:themeColor="text1"/>
          <w:kern w:val="0"/>
          <w:sz w:val="24"/>
          <w:highlight w:val="none"/>
          <w:lang w:eastAsia="zh-CN"/>
          <w14:textFill>
            <w14:solidFill>
              <w14:schemeClr w14:val="tx1"/>
            </w14:solidFill>
          </w14:textFill>
        </w:rPr>
        <w:t>委托人仅出具往来款收据</w:t>
      </w:r>
      <w:r>
        <w:rPr>
          <w:rFonts w:ascii="宋体" w:hAnsi="宋体" w:cs="宋体"/>
          <w:color w:val="000000" w:themeColor="text1"/>
          <w:kern w:val="0"/>
          <w:sz w:val="24"/>
          <w:highlight w:val="none"/>
          <w14:textFill>
            <w14:solidFill>
              <w14:schemeClr w14:val="tx1"/>
            </w14:solidFill>
          </w14:textFill>
        </w:rPr>
        <w:t>。</w:t>
      </w:r>
    </w:p>
    <w:p w14:paraId="55DE33C8">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ascii="宋体" w:hAnsi="宋体"/>
          <w:b/>
          <w:sz w:val="24"/>
        </w:rPr>
      </w:pPr>
      <w:r>
        <w:rPr>
          <w:rFonts w:hint="eastAsia" w:ascii="宋体" w:hAnsi="宋体"/>
          <w:b/>
          <w:color w:val="auto"/>
          <w:sz w:val="24"/>
          <w:lang w:eastAsia="zh-CN"/>
        </w:rPr>
        <w:t>第十五条</w:t>
      </w:r>
      <w:r>
        <w:rPr>
          <w:rFonts w:hint="eastAsia" w:ascii="宋体" w:hAnsi="宋体"/>
          <w:b/>
          <w:color w:val="auto"/>
          <w:sz w:val="24"/>
          <w:lang w:val="en-US" w:eastAsia="zh-CN"/>
        </w:rPr>
        <w:t xml:space="preserve"> </w:t>
      </w:r>
      <w:r>
        <w:rPr>
          <w:rFonts w:hint="eastAsia" w:ascii="宋体" w:hAnsi="宋体"/>
          <w:b/>
          <w:color w:val="000000"/>
          <w:sz w:val="24"/>
          <w:lang w:val="en-US" w:eastAsia="zh-CN"/>
        </w:rPr>
        <w:t xml:space="preserve"> 违约责任：</w:t>
      </w:r>
      <w:r>
        <w:rPr>
          <w:rFonts w:hint="eastAsia" w:ascii="宋体" w:hAnsi="宋体"/>
          <w:b/>
          <w:sz w:val="24"/>
        </w:rPr>
        <w:t>因买受人存在未按约定签订《拍卖成交确认书》等拍卖文件或《</w:t>
      </w:r>
      <w:r>
        <w:rPr>
          <w:rFonts w:hint="eastAsia" w:ascii="宋体" w:hAnsi="宋体"/>
          <w:b/>
          <w:sz w:val="24"/>
          <w:lang w:eastAsia="zh-CN"/>
        </w:rPr>
        <w:t>土石料买卖合同</w:t>
      </w:r>
      <w:r>
        <w:rPr>
          <w:rFonts w:hint="eastAsia" w:ascii="宋体" w:hAnsi="宋体"/>
          <w:b/>
          <w:sz w:val="24"/>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0500A29F">
      <w:pPr>
        <w:keepNext w:val="0"/>
        <w:keepLines w:val="0"/>
        <w:pageBreakBefore w:val="0"/>
        <w:widowControl w:val="0"/>
        <w:kinsoku/>
        <w:wordWrap/>
        <w:overflowPunct/>
        <w:topLinePunct w:val="0"/>
        <w:autoSpaceDE/>
        <w:autoSpaceDN/>
        <w:bidi w:val="0"/>
        <w:adjustRightInd/>
        <w:spacing w:line="500" w:lineRule="exact"/>
        <w:ind w:firstLine="472" w:firstLineChars="197"/>
        <w:textAlignment w:val="auto"/>
        <w:rPr>
          <w:rFonts w:ascii="宋体" w:hAnsi="宋体"/>
          <w:bCs/>
          <w:sz w:val="24"/>
        </w:rPr>
      </w:pPr>
      <w:r>
        <w:rPr>
          <w:rFonts w:hint="eastAsia" w:ascii="宋体" w:hAnsi="宋体"/>
          <w:bCs/>
          <w:sz w:val="24"/>
        </w:rPr>
        <w:t>《拍卖法》第三十九条：买受人应当按照约定支付拍卖标的的价款，未按照约定支付价款的，应当承担违约责任，或者由拍卖人征得委托人的同意，将拍卖标的再行拍卖。</w:t>
      </w:r>
    </w:p>
    <w:p w14:paraId="1413ADF3">
      <w:pPr>
        <w:keepNext w:val="0"/>
        <w:keepLines w:val="0"/>
        <w:pageBreakBefore w:val="0"/>
        <w:widowControl w:val="0"/>
        <w:kinsoku/>
        <w:wordWrap/>
        <w:overflowPunct/>
        <w:topLinePunct w:val="0"/>
        <w:autoSpaceDE/>
        <w:autoSpaceDN/>
        <w:bidi w:val="0"/>
        <w:adjustRightInd/>
        <w:spacing w:line="500" w:lineRule="exact"/>
        <w:ind w:firstLine="472" w:firstLineChars="197"/>
        <w:textAlignment w:val="auto"/>
        <w:rPr>
          <w:rFonts w:ascii="宋体" w:hAnsi="宋体"/>
          <w:bCs/>
          <w:sz w:val="24"/>
        </w:rPr>
      </w:pPr>
      <w:r>
        <w:rPr>
          <w:rFonts w:hint="eastAsia" w:ascii="宋体" w:hAnsi="宋体"/>
          <w:bCs/>
          <w:sz w:val="24"/>
        </w:rPr>
        <w:t>拍卖标的再行拍卖的，原买受人应当支付第一次拍卖中本人及委托人应当支付的佣金。再行拍卖的价款低于原拍卖价款的，原买受人应当补足差额。</w:t>
      </w:r>
    </w:p>
    <w:p w14:paraId="6DABEC2F">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sz w:val="24"/>
          <w:lang w:val="en-US" w:eastAsia="zh-CN"/>
        </w:rPr>
      </w:pPr>
      <w:r>
        <w:rPr>
          <w:rFonts w:hint="eastAsia" w:ascii="宋体" w:hAnsi="宋体"/>
          <w:b/>
          <w:color w:val="auto"/>
          <w:sz w:val="24"/>
        </w:rPr>
        <w:t>第十</w:t>
      </w:r>
      <w:r>
        <w:rPr>
          <w:rFonts w:hint="eastAsia" w:ascii="宋体" w:hAnsi="宋体"/>
          <w:b/>
          <w:color w:val="auto"/>
          <w:sz w:val="24"/>
          <w:lang w:eastAsia="zh-CN"/>
        </w:rPr>
        <w:t>六</w:t>
      </w:r>
      <w:r>
        <w:rPr>
          <w:rFonts w:hint="eastAsia" w:ascii="宋体" w:hAnsi="宋体"/>
          <w:b/>
          <w:color w:val="auto"/>
          <w:sz w:val="24"/>
        </w:rPr>
        <w:t>条  标的物交付：</w:t>
      </w:r>
      <w:r>
        <w:rPr>
          <w:rFonts w:hint="eastAsia" w:ascii="宋体" w:hAnsi="宋体"/>
          <w:sz w:val="24"/>
          <w:lang w:val="en-US" w:eastAsia="zh-CN"/>
        </w:rPr>
        <w:t>签订《土石料买卖合同》后，根据工程实际开挖进度，由委托人委托施工单位将标的物分批次交付给买受人。</w:t>
      </w:r>
    </w:p>
    <w:p w14:paraId="04903544">
      <w:pPr>
        <w:keepNext w:val="0"/>
        <w:keepLines w:val="0"/>
        <w:pageBreakBefore w:val="0"/>
        <w:widowControl w:val="0"/>
        <w:kinsoku/>
        <w:wordWrap/>
        <w:overflowPunct/>
        <w:topLinePunct w:val="0"/>
        <w:autoSpaceDE/>
        <w:autoSpaceDN/>
        <w:bidi w:val="0"/>
        <w:adjustRightInd/>
        <w:spacing w:line="500" w:lineRule="exact"/>
        <w:ind w:firstLine="475" w:firstLineChars="197"/>
        <w:textAlignment w:val="auto"/>
        <w:rPr>
          <w:rFonts w:hint="eastAsia"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七</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olor w:val="auto"/>
          <w:sz w:val="24"/>
        </w:rPr>
        <w:t>《</w:t>
      </w:r>
      <w:r>
        <w:rPr>
          <w:rFonts w:hint="eastAsia" w:ascii="宋体" w:hAnsi="宋体"/>
          <w:color w:val="auto"/>
          <w:sz w:val="24"/>
          <w:lang w:eastAsia="zh-CN"/>
        </w:rPr>
        <w:t>土石料买卖合同</w:t>
      </w:r>
      <w:r>
        <w:rPr>
          <w:rFonts w:hint="eastAsia" w:ascii="宋体" w:hAnsi="宋体"/>
          <w:color w:val="auto"/>
          <w:sz w:val="24"/>
        </w:rPr>
        <w:t>》</w:t>
      </w:r>
      <w:r>
        <w:rPr>
          <w:rFonts w:hint="eastAsia" w:ascii="宋体" w:hAnsi="宋体" w:cs="宋体"/>
          <w:color w:val="auto"/>
          <w:kern w:val="0"/>
          <w:sz w:val="24"/>
        </w:rPr>
        <w:t>生效后的2个工作日内，由拍卖人将交易结果在</w:t>
      </w:r>
      <w:r>
        <w:rPr>
          <w:rFonts w:hint="eastAsia" w:ascii="宋体" w:hAnsi="宋体" w:cs="宋体"/>
          <w:color w:val="auto"/>
          <w:kern w:val="0"/>
          <w:sz w:val="24"/>
          <w:lang w:eastAsia="zh-CN"/>
        </w:rPr>
        <w:t>宁波市公共资源交易电子服务系统（甬易阳光）</w:t>
      </w:r>
      <w:r>
        <w:rPr>
          <w:rFonts w:hint="eastAsia" w:ascii="宋体" w:hAnsi="宋体" w:cs="宋体"/>
          <w:color w:val="auto"/>
          <w:kern w:val="0"/>
          <w:sz w:val="24"/>
        </w:rPr>
        <w:t>公告5个工作日。</w:t>
      </w:r>
    </w:p>
    <w:p w14:paraId="76E73988">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sz w:val="28"/>
          <w:szCs w:val="28"/>
        </w:rPr>
      </w:pPr>
      <w:r>
        <w:rPr>
          <w:rFonts w:hint="eastAsia" w:ascii="宋体" w:hAnsi="宋体" w:cs="宋体"/>
          <w:b/>
          <w:bCs/>
          <w:color w:val="auto"/>
          <w:kern w:val="0"/>
          <w:sz w:val="24"/>
          <w:lang w:val="en-US" w:eastAsia="zh-CN"/>
        </w:rPr>
        <w:t xml:space="preserve"> </w:t>
      </w:r>
      <w:r>
        <w:rPr>
          <w:rFonts w:hint="eastAsia" w:ascii="宋体" w:hAnsi="宋体"/>
          <w:b/>
          <w:sz w:val="28"/>
          <w:szCs w:val="28"/>
        </w:rPr>
        <w:t>附 则</w:t>
      </w:r>
    </w:p>
    <w:p w14:paraId="198C1DE0">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八</w:t>
      </w:r>
      <w:r>
        <w:rPr>
          <w:rFonts w:ascii="宋体" w:hAnsi="宋体" w:cs="宋体"/>
          <w:b/>
          <w:bCs/>
          <w:kern w:val="0"/>
          <w:sz w:val="24"/>
        </w:rPr>
        <w:t>条</w:t>
      </w:r>
      <w:r>
        <w:rPr>
          <w:rFonts w:ascii="宋体" w:hAnsi="宋体" w:cs="宋体"/>
          <w:kern w:val="0"/>
          <w:sz w:val="24"/>
        </w:rPr>
        <w:t xml:space="preserve"> 对竞买人或买受人的通知或催告事宜，以其报名时所登记的联系电话为通讯方式，若该项不作记载，则以其身份证所载的住所为通讯地址。因无法联系或无法送达而产生的后果，由当事人自行承担，与委托人、拍卖人无涉。</w:t>
      </w:r>
    </w:p>
    <w:p w14:paraId="4CA5BCAB">
      <w:pPr>
        <w:keepNext w:val="0"/>
        <w:keepLines w:val="0"/>
        <w:pageBreakBefore w:val="0"/>
        <w:widowControl w:val="0"/>
        <w:kinsoku/>
        <w:wordWrap/>
        <w:overflowPunct/>
        <w:topLinePunct w:val="0"/>
        <w:autoSpaceDE/>
        <w:autoSpaceDN/>
        <w:bidi w:val="0"/>
        <w:adjustRightInd/>
        <w:snapToGrid/>
        <w:spacing w:line="500" w:lineRule="exact"/>
        <w:ind w:firstLine="470" w:firstLineChars="195"/>
        <w:textAlignment w:val="auto"/>
        <w:rPr>
          <w:rFonts w:hint="eastAsia" w:ascii="宋体" w:hAnsi="宋体" w:cs="宋体"/>
          <w:kern w:val="0"/>
          <w:sz w:val="24"/>
        </w:rPr>
      </w:pPr>
      <w:r>
        <w:rPr>
          <w:rFonts w:ascii="宋体" w:hAnsi="宋体" w:cs="宋体"/>
          <w:b/>
          <w:bCs/>
          <w:kern w:val="0"/>
          <w:sz w:val="24"/>
        </w:rPr>
        <w:t>第十</w:t>
      </w:r>
      <w:r>
        <w:rPr>
          <w:rFonts w:hint="eastAsia" w:ascii="宋体" w:hAnsi="宋体" w:cs="宋体"/>
          <w:b/>
          <w:bCs/>
          <w:kern w:val="0"/>
          <w:sz w:val="24"/>
          <w:lang w:eastAsia="zh-CN"/>
        </w:rPr>
        <w:t>九</w:t>
      </w:r>
      <w:r>
        <w:rPr>
          <w:rFonts w:ascii="宋体" w:hAnsi="宋体" w:cs="宋体"/>
          <w:b/>
          <w:bCs/>
          <w:kern w:val="0"/>
          <w:sz w:val="24"/>
        </w:rPr>
        <w:t>条</w:t>
      </w:r>
      <w:r>
        <w:rPr>
          <w:rFonts w:ascii="宋体" w:hAnsi="宋体" w:cs="宋体"/>
          <w:kern w:val="0"/>
          <w:sz w:val="24"/>
        </w:rPr>
        <w:t xml:space="preserve"> 本须知解释权归本次拍卖活动的委托人、拍卖人所有。</w:t>
      </w:r>
      <w:r>
        <w:rPr>
          <w:rFonts w:hint="eastAsia" w:ascii="宋体" w:hAnsi="宋体" w:cs="宋体"/>
          <w:kern w:val="0"/>
          <w:sz w:val="24"/>
        </w:rPr>
        <w:t xml:space="preserve">  </w:t>
      </w:r>
    </w:p>
    <w:p w14:paraId="5B909C99">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jc w:val="center"/>
        <w:textAlignment w:val="auto"/>
        <w:rPr>
          <w:rFonts w:hint="eastAsia" w:ascii="宋体" w:hAnsi="宋体"/>
          <w:b/>
          <w:sz w:val="28"/>
          <w:szCs w:val="28"/>
        </w:rPr>
      </w:pPr>
      <w:r>
        <w:rPr>
          <w:rFonts w:hint="default" w:ascii="宋体" w:hAnsi="宋体"/>
          <w:b/>
          <w:sz w:val="28"/>
          <w:szCs w:val="28"/>
        </w:rPr>
        <w:t>会场纪律</w:t>
      </w:r>
    </w:p>
    <w:p w14:paraId="3D6320D8">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一、竞买人有序进入拍卖会场，拍卖会现场必须服从工作人员的安排。</w:t>
      </w:r>
    </w:p>
    <w:p w14:paraId="47DD554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二、现场拍卖期间，要求竞买人之间间隔1个座位就坐参拍；严禁聚众扎堆。</w:t>
      </w:r>
    </w:p>
    <w:p w14:paraId="3484C49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三、进入拍卖会场后，请保持安静，不得大声喧哗。</w:t>
      </w:r>
    </w:p>
    <w:p w14:paraId="512FABFB">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四、自觉爱护场内公共设施、设备，对故意毁坏造成的损失，由当事人负责赔偿。</w:t>
      </w:r>
    </w:p>
    <w:p w14:paraId="7504B044">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五、对故意扰乱现场秩序、干扰拍卖会正常进行的竞买人，工作人员有权将劝其退场。</w:t>
      </w:r>
    </w:p>
    <w:p w14:paraId="046B99F4">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六、拍卖会结束后，要求竞买人有序退场，同时将号牌归还工作人员。</w:t>
      </w:r>
    </w:p>
    <w:p w14:paraId="6A65C422">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七、在会场内禁止吸烟。</w:t>
      </w:r>
    </w:p>
    <w:p w14:paraId="6074BB8B">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ascii="宋体" w:hAnsi="宋体" w:cs="宋体"/>
          <w:kern w:val="0"/>
          <w:sz w:val="24"/>
        </w:rPr>
      </w:pPr>
      <w:r>
        <w:rPr>
          <w:rFonts w:hint="default" w:ascii="宋体" w:hAnsi="宋体" w:cs="宋体"/>
          <w:kern w:val="0"/>
          <w:sz w:val="24"/>
        </w:rPr>
        <w:t>八、妥善保管好个人物品，损坏、丢失等后果自负。</w:t>
      </w:r>
    </w:p>
    <w:p w14:paraId="2CDFDC6E">
      <w:pPr>
        <w:keepNext w:val="0"/>
        <w:keepLines w:val="0"/>
        <w:pageBreakBefore w:val="0"/>
        <w:widowControl w:val="0"/>
        <w:kinsoku/>
        <w:wordWrap/>
        <w:overflowPunct/>
        <w:topLinePunct w:val="0"/>
        <w:autoSpaceDE/>
        <w:autoSpaceDN/>
        <w:bidi w:val="0"/>
        <w:adjustRightInd/>
        <w:snapToGrid/>
        <w:spacing w:line="500" w:lineRule="exact"/>
        <w:ind w:firstLine="468" w:firstLineChars="195"/>
        <w:textAlignment w:val="auto"/>
        <w:rPr>
          <w:rFonts w:hint="eastAsia" w:ascii="宋体" w:hAnsi="宋体" w:cs="宋体"/>
          <w:color w:val="auto"/>
          <w:kern w:val="0"/>
          <w:sz w:val="24"/>
        </w:rPr>
      </w:pPr>
      <w:r>
        <w:rPr>
          <w:rFonts w:hint="default" w:ascii="宋体" w:hAnsi="宋体" w:cs="宋体"/>
          <w:kern w:val="0"/>
          <w:sz w:val="24"/>
        </w:rPr>
        <w:t>九、理性应价，谨慎举牌。</w:t>
      </w:r>
    </w:p>
    <w:p w14:paraId="3768D28A">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宋体" w:hAnsi="宋体" w:eastAsia="宋体" w:cs="宋体"/>
          <w:bCs/>
          <w:kern w:val="0"/>
          <w:sz w:val="24"/>
          <w:lang w:eastAsia="zh-CN"/>
        </w:rPr>
      </w:pPr>
    </w:p>
    <w:p w14:paraId="64C87555">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宁波阳明拍卖有限公司</w:t>
      </w:r>
    </w:p>
    <w:p w14:paraId="7050217C">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p>
    <w:p w14:paraId="4C681204">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jc w:val="left"/>
        <w:textAlignment w:val="auto"/>
        <w:rPr>
          <w:rFonts w:hint="eastAsia" w:ascii="宋体" w:hAnsi="宋体" w:cs="宋体"/>
          <w:color w:val="auto"/>
          <w:kern w:val="0"/>
          <w:sz w:val="24"/>
          <w:lang w:eastAsia="zh-CN"/>
        </w:rPr>
      </w:pPr>
    </w:p>
    <w:p w14:paraId="7EC9D3F2">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宋体"/>
          <w:color w:val="auto"/>
          <w:kern w:val="0"/>
          <w:sz w:val="24"/>
          <w:lang w:eastAsia="zh-CN"/>
        </w:rPr>
      </w:pPr>
    </w:p>
    <w:p w14:paraId="359EDB1E">
      <w:pPr>
        <w:keepNext w:val="0"/>
        <w:keepLines w:val="0"/>
        <w:pageBreakBefore w:val="0"/>
        <w:widowControl w:val="0"/>
        <w:tabs>
          <w:tab w:val="left" w:pos="5040"/>
          <w:tab w:val="left" w:pos="6480"/>
        </w:tabs>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cs="宋体"/>
          <w:kern w:val="0"/>
          <w:sz w:val="24"/>
        </w:rPr>
      </w:pPr>
      <w:r>
        <w:rPr>
          <w:rFonts w:hint="eastAsia" w:ascii="宋体" w:hAnsi="宋体" w:cs="宋体"/>
          <w:color w:val="auto"/>
          <w:kern w:val="0"/>
          <w:sz w:val="24"/>
          <w:lang w:eastAsia="zh-CN"/>
        </w:rPr>
        <w:t>附：</w:t>
      </w:r>
      <w:r>
        <w:rPr>
          <w:rFonts w:hint="eastAsia" w:ascii="宋体" w:hAnsi="宋体" w:cs="宋体"/>
          <w:kern w:val="0"/>
          <w:sz w:val="24"/>
        </w:rPr>
        <w:t>《</w:t>
      </w:r>
      <w:r>
        <w:rPr>
          <w:rFonts w:hint="eastAsia" w:ascii="宋体" w:hAnsi="宋体" w:cs="宋体"/>
          <w:kern w:val="0"/>
          <w:sz w:val="24"/>
          <w:lang w:eastAsia="zh-CN"/>
        </w:rPr>
        <w:t>土石料买卖合同</w:t>
      </w:r>
      <w:r>
        <w:rPr>
          <w:rFonts w:hint="eastAsia" w:ascii="宋体" w:hAnsi="宋体" w:cs="宋体"/>
          <w:kern w:val="0"/>
          <w:sz w:val="24"/>
        </w:rPr>
        <w:t>（样本）》</w:t>
      </w:r>
    </w:p>
    <w:p w14:paraId="16675BEE">
      <w:pPr>
        <w:pStyle w:val="3"/>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color w:val="000000" w:themeColor="text1"/>
          <w:sz w:val="44"/>
          <w:szCs w:val="44"/>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土石料</w:t>
      </w:r>
      <w:r>
        <w:rPr>
          <w:rFonts w:hint="eastAsia" w:ascii="仿宋" w:hAnsi="仿宋" w:eastAsia="仿宋" w:cs="仿宋"/>
          <w:color w:val="000000" w:themeColor="text1"/>
          <w:sz w:val="44"/>
          <w:szCs w:val="44"/>
          <w14:textFill>
            <w14:solidFill>
              <w14:schemeClr w14:val="tx1"/>
            </w14:solidFill>
          </w14:textFill>
        </w:rPr>
        <w:t>买卖合同（样本）</w:t>
      </w:r>
    </w:p>
    <w:p w14:paraId="7CF976A9">
      <w:pPr>
        <w:pStyle w:val="10"/>
        <w:pageBreakBefore w:val="0"/>
        <w:kinsoku/>
        <w:wordWrap/>
        <w:overflowPunct/>
        <w:topLinePunct w:val="0"/>
        <w:autoSpaceDE/>
        <w:autoSpaceDN/>
        <w:bidi w:val="0"/>
        <w:adjustRightInd/>
        <w:snapToGrid/>
        <w:spacing w:beforeAutospacing="0" w:afterLines="50" w:afterAutospacing="0" w:line="460" w:lineRule="exact"/>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合同编号：</w:t>
      </w:r>
    </w:p>
    <w:p w14:paraId="750096BC">
      <w:pPr>
        <w:pStyle w:val="10"/>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转让人：</w:t>
      </w:r>
      <w:r>
        <w:rPr>
          <w:rFonts w:hint="eastAsia" w:ascii="仿宋" w:hAnsi="仿宋" w:eastAsia="仿宋" w:cs="仿宋"/>
          <w:color w:val="000000" w:themeColor="text1"/>
          <w:sz w:val="30"/>
          <w:szCs w:val="30"/>
          <w:u w:val="single"/>
          <w:lang w:val="en-US" w:eastAsia="zh-CN"/>
          <w14:textFill>
            <w14:solidFill>
              <w14:schemeClr w14:val="tx1"/>
            </w14:solidFill>
          </w14:textFill>
        </w:rPr>
        <w:t>宁波舜通集团有限公司</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（以下简称“甲方”）</w:t>
      </w:r>
    </w:p>
    <w:p w14:paraId="4186A14C">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受让人：</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（以下简称“乙方”）</w:t>
      </w:r>
    </w:p>
    <w:p w14:paraId="2512AC45">
      <w:pPr>
        <w:pStyle w:val="10"/>
        <w:keepNext w:val="0"/>
        <w:keepLines w:val="0"/>
        <w:pageBreakBefore w:val="0"/>
        <w:kinsoku/>
        <w:wordWrap/>
        <w:overflowPunct/>
        <w:topLinePunct w:val="0"/>
        <w:autoSpaceDE/>
        <w:autoSpaceDN/>
        <w:bidi w:val="0"/>
        <w:adjustRightInd/>
        <w:snapToGrid/>
        <w:spacing w:beforeAutospacing="0" w:afterAutospacing="0" w:line="46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为了规范交易行为，保护双方合法权益，根据《中华人民共和国民法典》及有关法律、法规，明确双方权利义务关系，保证正常交易程序，一致同意签订本合同，以资共同遵守。</w:t>
      </w:r>
    </w:p>
    <w:p w14:paraId="05C0E4B3">
      <w:pPr>
        <w:pStyle w:val="10"/>
        <w:keepNext w:val="0"/>
        <w:keepLines w:val="0"/>
        <w:pageBreakBefore w:val="0"/>
        <w:kinsoku/>
        <w:wordWrap/>
        <w:overflowPunct/>
        <w:topLinePunct w:val="0"/>
        <w:autoSpaceDE/>
        <w:autoSpaceDN/>
        <w:bidi w:val="0"/>
        <w:adjustRightInd/>
        <w:snapToGrid/>
        <w:spacing w:beforeAutospacing="0" w:afterAutospacing="0" w:line="460" w:lineRule="exact"/>
        <w:ind w:firstLine="0" w:firstLineChars="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 xml:space="preserve"> 第一条 转让标的</w:t>
      </w:r>
    </w:p>
    <w:p w14:paraId="759045A0">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乙方通过</w:t>
      </w:r>
      <w:r>
        <w:rPr>
          <w:rFonts w:hint="eastAsia" w:ascii="仿宋" w:hAnsi="仿宋" w:eastAsia="仿宋" w:cs="仿宋"/>
          <w:color w:val="000000" w:themeColor="text1"/>
          <w:sz w:val="30"/>
          <w:szCs w:val="30"/>
          <w:lang w:eastAsia="zh-CN"/>
          <w14:textFill>
            <w14:solidFill>
              <w14:schemeClr w14:val="tx1"/>
            </w14:solidFill>
          </w14:textFill>
        </w:rPr>
        <w:t>拍卖</w:t>
      </w:r>
      <w:r>
        <w:rPr>
          <w:rFonts w:hint="eastAsia" w:ascii="仿宋" w:hAnsi="仿宋" w:eastAsia="仿宋" w:cs="仿宋"/>
          <w:color w:val="000000" w:themeColor="text1"/>
          <w:sz w:val="30"/>
          <w:szCs w:val="30"/>
          <w14:textFill>
            <w14:solidFill>
              <w14:schemeClr w14:val="tx1"/>
            </w14:solidFill>
          </w14:textFill>
        </w:rPr>
        <w:t>取得</w:t>
      </w:r>
      <w:r>
        <w:rPr>
          <w:rFonts w:hint="eastAsia" w:ascii="仿宋" w:hAnsi="仿宋" w:eastAsia="仿宋" w:cs="仿宋"/>
          <w:color w:val="000000" w:themeColor="text1"/>
          <w:sz w:val="30"/>
          <w:szCs w:val="30"/>
          <w:u w:val="single"/>
          <w:lang w:val="en-US" w:eastAsia="zh-CN"/>
          <w14:textFill>
            <w14:solidFill>
              <w14:schemeClr w14:val="tx1"/>
            </w14:solidFill>
          </w14:textFill>
        </w:rPr>
        <w:t>余姚经济开发区西南园区配套道路(一期)工程茶山路堑开挖段(K0+650-K1+000)多余土石料</w:t>
      </w:r>
      <w:r>
        <w:rPr>
          <w:rFonts w:hint="eastAsia" w:ascii="仿宋" w:hAnsi="仿宋" w:eastAsia="仿宋" w:cs="仿宋"/>
          <w:color w:val="000000" w:themeColor="text1"/>
          <w:sz w:val="30"/>
          <w:szCs w:val="30"/>
          <w14:textFill>
            <w14:solidFill>
              <w14:schemeClr w14:val="tx1"/>
            </w14:solidFill>
          </w14:textFill>
        </w:rPr>
        <w:t>（以下简称“标的物”）</w:t>
      </w:r>
      <w:r>
        <w:rPr>
          <w:rFonts w:hint="eastAsia" w:ascii="仿宋" w:hAnsi="仿宋" w:eastAsia="仿宋" w:cs="仿宋"/>
          <w:color w:val="000000" w:themeColor="text1"/>
          <w:sz w:val="30"/>
          <w:szCs w:val="30"/>
          <w:lang w:eastAsia="zh-CN"/>
          <w14:textFill>
            <w14:solidFill>
              <w14:schemeClr w14:val="tx1"/>
            </w14:solidFill>
          </w14:textFill>
        </w:rPr>
        <w:t>。项目区位于余姚市城区中心南侧 190°方位直距约 2.9km处，中心地理坐标为东经 121 °14 ′56″，北纬 30 °01 ′35 ″，行政隶属余姚市兰江街道。开挖区面积：约11865平方米，具体坐标范围详见下表。</w:t>
      </w:r>
    </w:p>
    <w:p w14:paraId="23F89C7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after="157" w:afterLines="50" w:line="320" w:lineRule="exact"/>
        <w:ind w:firstLine="562" w:firstLineChars="200"/>
        <w:jc w:val="center"/>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开挖区红线控制性拐点坐标表</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654"/>
        <w:gridCol w:w="1654"/>
        <w:gridCol w:w="950"/>
        <w:gridCol w:w="1655"/>
        <w:gridCol w:w="1658"/>
      </w:tblGrid>
      <w:tr w14:paraId="0F06E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759E26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拐点号</w:t>
            </w:r>
          </w:p>
        </w:tc>
        <w:tc>
          <w:tcPr>
            <w:tcW w:w="1654" w:type="dxa"/>
            <w:noWrap w:val="0"/>
            <w:vAlign w:val="center"/>
          </w:tcPr>
          <w:p w14:paraId="36334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X</w:t>
            </w:r>
          </w:p>
        </w:tc>
        <w:tc>
          <w:tcPr>
            <w:tcW w:w="1654" w:type="dxa"/>
            <w:noWrap w:val="0"/>
            <w:vAlign w:val="center"/>
          </w:tcPr>
          <w:p w14:paraId="6D1F96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Y</w:t>
            </w:r>
          </w:p>
        </w:tc>
        <w:tc>
          <w:tcPr>
            <w:tcW w:w="950" w:type="dxa"/>
            <w:noWrap w:val="0"/>
            <w:vAlign w:val="center"/>
          </w:tcPr>
          <w:p w14:paraId="209D3F7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拐点号</w:t>
            </w:r>
          </w:p>
        </w:tc>
        <w:tc>
          <w:tcPr>
            <w:tcW w:w="1655" w:type="dxa"/>
            <w:noWrap w:val="0"/>
            <w:vAlign w:val="center"/>
          </w:tcPr>
          <w:p w14:paraId="69DA4C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X</w:t>
            </w:r>
          </w:p>
        </w:tc>
        <w:tc>
          <w:tcPr>
            <w:tcW w:w="1658" w:type="dxa"/>
            <w:noWrap w:val="0"/>
            <w:vAlign w:val="center"/>
          </w:tcPr>
          <w:p w14:paraId="7EA290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Y</w:t>
            </w:r>
          </w:p>
        </w:tc>
      </w:tr>
      <w:tr w14:paraId="5F50E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B13C3A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w:t>
            </w:r>
          </w:p>
        </w:tc>
        <w:tc>
          <w:tcPr>
            <w:tcW w:w="1654" w:type="dxa"/>
            <w:noWrap w:val="0"/>
            <w:vAlign w:val="center"/>
          </w:tcPr>
          <w:p w14:paraId="59CF1E3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265548.66</w:t>
            </w:r>
          </w:p>
        </w:tc>
        <w:tc>
          <w:tcPr>
            <w:tcW w:w="1654" w:type="dxa"/>
            <w:noWrap w:val="0"/>
            <w:vAlign w:val="center"/>
          </w:tcPr>
          <w:p w14:paraId="5DA507A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121735.71</w:t>
            </w:r>
          </w:p>
        </w:tc>
        <w:tc>
          <w:tcPr>
            <w:tcW w:w="950" w:type="dxa"/>
            <w:noWrap w:val="0"/>
            <w:vAlign w:val="center"/>
          </w:tcPr>
          <w:p w14:paraId="1B4F3A9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J12</w:t>
            </w:r>
          </w:p>
        </w:tc>
        <w:tc>
          <w:tcPr>
            <w:tcW w:w="1655" w:type="dxa"/>
            <w:noWrap w:val="0"/>
            <w:vAlign w:val="center"/>
          </w:tcPr>
          <w:p w14:paraId="600EA6D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265715.60</w:t>
            </w:r>
          </w:p>
        </w:tc>
        <w:tc>
          <w:tcPr>
            <w:tcW w:w="1658" w:type="dxa"/>
            <w:noWrap w:val="0"/>
            <w:vAlign w:val="center"/>
          </w:tcPr>
          <w:p w14:paraId="120E207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121688.20</w:t>
            </w:r>
          </w:p>
        </w:tc>
      </w:tr>
      <w:tr w14:paraId="19DCD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5F233D6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w:t>
            </w:r>
          </w:p>
        </w:tc>
        <w:tc>
          <w:tcPr>
            <w:tcW w:w="1654" w:type="dxa"/>
            <w:noWrap w:val="0"/>
            <w:vAlign w:val="center"/>
          </w:tcPr>
          <w:p w14:paraId="3A3F878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265737.61</w:t>
            </w:r>
          </w:p>
        </w:tc>
        <w:tc>
          <w:tcPr>
            <w:tcW w:w="1654" w:type="dxa"/>
            <w:noWrap w:val="0"/>
            <w:vAlign w:val="center"/>
          </w:tcPr>
          <w:p w14:paraId="5314962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121722.66</w:t>
            </w:r>
          </w:p>
        </w:tc>
        <w:tc>
          <w:tcPr>
            <w:tcW w:w="950" w:type="dxa"/>
            <w:noWrap w:val="0"/>
            <w:vAlign w:val="center"/>
          </w:tcPr>
          <w:p w14:paraId="2394EC1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J13</w:t>
            </w:r>
          </w:p>
        </w:tc>
        <w:tc>
          <w:tcPr>
            <w:tcW w:w="1655" w:type="dxa"/>
            <w:noWrap w:val="0"/>
            <w:vAlign w:val="center"/>
          </w:tcPr>
          <w:p w14:paraId="3432BB9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265695.64</w:t>
            </w:r>
          </w:p>
        </w:tc>
        <w:tc>
          <w:tcPr>
            <w:tcW w:w="1658" w:type="dxa"/>
            <w:noWrap w:val="0"/>
            <w:vAlign w:val="center"/>
          </w:tcPr>
          <w:p w14:paraId="4975BBE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121689.40</w:t>
            </w:r>
          </w:p>
        </w:tc>
      </w:tr>
      <w:tr w14:paraId="711F4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307156F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J3</w:t>
            </w:r>
          </w:p>
        </w:tc>
        <w:tc>
          <w:tcPr>
            <w:tcW w:w="1654" w:type="dxa"/>
            <w:noWrap w:val="0"/>
            <w:vAlign w:val="center"/>
          </w:tcPr>
          <w:p w14:paraId="6EA182E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265882.70</w:t>
            </w:r>
          </w:p>
        </w:tc>
        <w:tc>
          <w:tcPr>
            <w:tcW w:w="1654" w:type="dxa"/>
            <w:noWrap w:val="0"/>
            <w:vAlign w:val="center"/>
          </w:tcPr>
          <w:p w14:paraId="63BC05F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121712.07</w:t>
            </w:r>
          </w:p>
        </w:tc>
        <w:tc>
          <w:tcPr>
            <w:tcW w:w="950" w:type="dxa"/>
            <w:noWrap w:val="0"/>
            <w:vAlign w:val="center"/>
          </w:tcPr>
          <w:p w14:paraId="42DFCF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J14</w:t>
            </w:r>
          </w:p>
        </w:tc>
        <w:tc>
          <w:tcPr>
            <w:tcW w:w="1655" w:type="dxa"/>
            <w:noWrap w:val="0"/>
            <w:vAlign w:val="center"/>
          </w:tcPr>
          <w:p w14:paraId="3F0AE91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265675.76</w:t>
            </w:r>
          </w:p>
        </w:tc>
        <w:tc>
          <w:tcPr>
            <w:tcW w:w="1658" w:type="dxa"/>
            <w:noWrap w:val="0"/>
            <w:vAlign w:val="center"/>
          </w:tcPr>
          <w:p w14:paraId="6B8AAE2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121691.80</w:t>
            </w:r>
          </w:p>
        </w:tc>
      </w:tr>
      <w:tr w14:paraId="2AE2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3F5CD3A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J4</w:t>
            </w:r>
          </w:p>
        </w:tc>
        <w:tc>
          <w:tcPr>
            <w:tcW w:w="1654" w:type="dxa"/>
            <w:noWrap w:val="0"/>
            <w:vAlign w:val="center"/>
          </w:tcPr>
          <w:p w14:paraId="004317E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265876.18</w:t>
            </w:r>
          </w:p>
        </w:tc>
        <w:tc>
          <w:tcPr>
            <w:tcW w:w="1654" w:type="dxa"/>
            <w:noWrap w:val="0"/>
            <w:vAlign w:val="center"/>
          </w:tcPr>
          <w:p w14:paraId="3760034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121691.00</w:t>
            </w:r>
          </w:p>
        </w:tc>
        <w:tc>
          <w:tcPr>
            <w:tcW w:w="950" w:type="dxa"/>
            <w:noWrap w:val="0"/>
            <w:vAlign w:val="center"/>
          </w:tcPr>
          <w:p w14:paraId="1B54668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J15</w:t>
            </w:r>
          </w:p>
        </w:tc>
        <w:tc>
          <w:tcPr>
            <w:tcW w:w="1655" w:type="dxa"/>
            <w:noWrap w:val="0"/>
            <w:vAlign w:val="center"/>
          </w:tcPr>
          <w:p w14:paraId="34328FE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265655.76</w:t>
            </w:r>
          </w:p>
        </w:tc>
        <w:tc>
          <w:tcPr>
            <w:tcW w:w="1658" w:type="dxa"/>
            <w:noWrap w:val="0"/>
            <w:vAlign w:val="center"/>
          </w:tcPr>
          <w:p w14:paraId="1A20884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121692.59</w:t>
            </w:r>
          </w:p>
        </w:tc>
      </w:tr>
      <w:tr w14:paraId="066F9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19B47CF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J5</w:t>
            </w:r>
          </w:p>
        </w:tc>
        <w:tc>
          <w:tcPr>
            <w:tcW w:w="1654" w:type="dxa"/>
            <w:noWrap w:val="0"/>
            <w:vAlign w:val="center"/>
          </w:tcPr>
          <w:p w14:paraId="7783BCE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265855.73</w:t>
            </w:r>
          </w:p>
        </w:tc>
        <w:tc>
          <w:tcPr>
            <w:tcW w:w="1654" w:type="dxa"/>
            <w:noWrap w:val="0"/>
            <w:vAlign w:val="center"/>
          </w:tcPr>
          <w:p w14:paraId="362E896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121685.13</w:t>
            </w:r>
          </w:p>
        </w:tc>
        <w:tc>
          <w:tcPr>
            <w:tcW w:w="950" w:type="dxa"/>
            <w:noWrap w:val="0"/>
            <w:vAlign w:val="center"/>
          </w:tcPr>
          <w:p w14:paraId="18E4084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J16</w:t>
            </w:r>
          </w:p>
        </w:tc>
        <w:tc>
          <w:tcPr>
            <w:tcW w:w="1655" w:type="dxa"/>
            <w:noWrap w:val="0"/>
            <w:vAlign w:val="center"/>
          </w:tcPr>
          <w:p w14:paraId="4666227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265636.01</w:t>
            </w:r>
          </w:p>
        </w:tc>
        <w:tc>
          <w:tcPr>
            <w:tcW w:w="1658" w:type="dxa"/>
            <w:noWrap w:val="0"/>
            <w:vAlign w:val="center"/>
          </w:tcPr>
          <w:p w14:paraId="5699267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121696.77</w:t>
            </w:r>
          </w:p>
        </w:tc>
      </w:tr>
      <w:tr w14:paraId="29B0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630C04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J6</w:t>
            </w:r>
          </w:p>
        </w:tc>
        <w:tc>
          <w:tcPr>
            <w:tcW w:w="1654" w:type="dxa"/>
            <w:noWrap w:val="0"/>
            <w:vAlign w:val="center"/>
          </w:tcPr>
          <w:p w14:paraId="25A0B1D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265835.34</w:t>
            </w:r>
          </w:p>
        </w:tc>
        <w:tc>
          <w:tcPr>
            <w:tcW w:w="1654" w:type="dxa"/>
            <w:noWrap w:val="0"/>
            <w:vAlign w:val="center"/>
          </w:tcPr>
          <w:p w14:paraId="0298879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121680.20</w:t>
            </w:r>
          </w:p>
        </w:tc>
        <w:tc>
          <w:tcPr>
            <w:tcW w:w="950" w:type="dxa"/>
            <w:noWrap w:val="0"/>
            <w:vAlign w:val="center"/>
          </w:tcPr>
          <w:p w14:paraId="042AAD7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J17</w:t>
            </w:r>
          </w:p>
        </w:tc>
        <w:tc>
          <w:tcPr>
            <w:tcW w:w="1655" w:type="dxa"/>
            <w:noWrap w:val="0"/>
            <w:vAlign w:val="center"/>
          </w:tcPr>
          <w:p w14:paraId="058132AC">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265616.15</w:t>
            </w:r>
          </w:p>
        </w:tc>
        <w:tc>
          <w:tcPr>
            <w:tcW w:w="1658" w:type="dxa"/>
            <w:noWrap w:val="0"/>
            <w:vAlign w:val="center"/>
          </w:tcPr>
          <w:p w14:paraId="3E5527D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121699.57</w:t>
            </w:r>
          </w:p>
        </w:tc>
      </w:tr>
      <w:tr w14:paraId="2264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659B24C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J7</w:t>
            </w:r>
          </w:p>
        </w:tc>
        <w:tc>
          <w:tcPr>
            <w:tcW w:w="1654" w:type="dxa"/>
            <w:noWrap w:val="0"/>
            <w:vAlign w:val="center"/>
          </w:tcPr>
          <w:p w14:paraId="40372D9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265814.86</w:t>
            </w:r>
          </w:p>
        </w:tc>
        <w:tc>
          <w:tcPr>
            <w:tcW w:w="1654" w:type="dxa"/>
            <w:noWrap w:val="0"/>
            <w:vAlign w:val="center"/>
          </w:tcPr>
          <w:p w14:paraId="1745CE03">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121674.08</w:t>
            </w:r>
          </w:p>
        </w:tc>
        <w:tc>
          <w:tcPr>
            <w:tcW w:w="950" w:type="dxa"/>
            <w:noWrap w:val="0"/>
            <w:vAlign w:val="center"/>
          </w:tcPr>
          <w:p w14:paraId="327E7D0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J18</w:t>
            </w:r>
          </w:p>
        </w:tc>
        <w:tc>
          <w:tcPr>
            <w:tcW w:w="1655" w:type="dxa"/>
            <w:noWrap w:val="0"/>
            <w:vAlign w:val="center"/>
          </w:tcPr>
          <w:p w14:paraId="15C3D75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265596.45</w:t>
            </w:r>
          </w:p>
        </w:tc>
        <w:tc>
          <w:tcPr>
            <w:tcW w:w="1658" w:type="dxa"/>
            <w:noWrap w:val="0"/>
            <w:vAlign w:val="center"/>
          </w:tcPr>
          <w:p w14:paraId="059FD562">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121704.56</w:t>
            </w:r>
          </w:p>
        </w:tc>
      </w:tr>
      <w:tr w14:paraId="35AE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17FFB6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J8</w:t>
            </w:r>
          </w:p>
        </w:tc>
        <w:tc>
          <w:tcPr>
            <w:tcW w:w="1654" w:type="dxa"/>
            <w:noWrap w:val="0"/>
            <w:vAlign w:val="center"/>
          </w:tcPr>
          <w:p w14:paraId="6FCE9C8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265794.30</w:t>
            </w:r>
          </w:p>
        </w:tc>
        <w:tc>
          <w:tcPr>
            <w:tcW w:w="1654" w:type="dxa"/>
            <w:noWrap w:val="0"/>
            <w:vAlign w:val="center"/>
          </w:tcPr>
          <w:p w14:paraId="2FC6D0BB">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121666.68</w:t>
            </w:r>
          </w:p>
        </w:tc>
        <w:tc>
          <w:tcPr>
            <w:tcW w:w="950" w:type="dxa"/>
            <w:noWrap w:val="0"/>
            <w:vAlign w:val="center"/>
          </w:tcPr>
          <w:p w14:paraId="1DFDBE3A">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J19</w:t>
            </w:r>
          </w:p>
        </w:tc>
        <w:tc>
          <w:tcPr>
            <w:tcW w:w="1655" w:type="dxa"/>
            <w:noWrap w:val="0"/>
            <w:vAlign w:val="center"/>
          </w:tcPr>
          <w:p w14:paraId="3111FBB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265576.63</w:t>
            </w:r>
          </w:p>
        </w:tc>
        <w:tc>
          <w:tcPr>
            <w:tcW w:w="1658" w:type="dxa"/>
            <w:noWrap w:val="0"/>
            <w:vAlign w:val="center"/>
          </w:tcPr>
          <w:p w14:paraId="01AFE22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121707.88</w:t>
            </w:r>
          </w:p>
        </w:tc>
      </w:tr>
      <w:tr w14:paraId="0E624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7D9A304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J9</w:t>
            </w:r>
          </w:p>
        </w:tc>
        <w:tc>
          <w:tcPr>
            <w:tcW w:w="1654" w:type="dxa"/>
            <w:noWrap w:val="0"/>
            <w:vAlign w:val="center"/>
          </w:tcPr>
          <w:p w14:paraId="6465979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265774.19</w:t>
            </w:r>
          </w:p>
        </w:tc>
        <w:tc>
          <w:tcPr>
            <w:tcW w:w="1654" w:type="dxa"/>
            <w:noWrap w:val="0"/>
            <w:vAlign w:val="center"/>
          </w:tcPr>
          <w:p w14:paraId="514A484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121665.75</w:t>
            </w:r>
          </w:p>
        </w:tc>
        <w:tc>
          <w:tcPr>
            <w:tcW w:w="950" w:type="dxa"/>
            <w:noWrap w:val="0"/>
            <w:vAlign w:val="center"/>
          </w:tcPr>
          <w:p w14:paraId="1A6652E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J20</w:t>
            </w:r>
          </w:p>
        </w:tc>
        <w:tc>
          <w:tcPr>
            <w:tcW w:w="1655" w:type="dxa"/>
            <w:noWrap w:val="0"/>
            <w:vAlign w:val="center"/>
          </w:tcPr>
          <w:p w14:paraId="39DACE9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265556.78</w:t>
            </w:r>
          </w:p>
        </w:tc>
        <w:tc>
          <w:tcPr>
            <w:tcW w:w="1658" w:type="dxa"/>
            <w:noWrap w:val="0"/>
            <w:vAlign w:val="center"/>
          </w:tcPr>
          <w:p w14:paraId="1CFB4574">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121710.76</w:t>
            </w:r>
          </w:p>
        </w:tc>
      </w:tr>
      <w:tr w14:paraId="6F8A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C4EC3E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J10</w:t>
            </w:r>
          </w:p>
        </w:tc>
        <w:tc>
          <w:tcPr>
            <w:tcW w:w="1654" w:type="dxa"/>
            <w:noWrap w:val="0"/>
            <w:vAlign w:val="center"/>
          </w:tcPr>
          <w:p w14:paraId="51BC7A1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265754.66</w:t>
            </w:r>
          </w:p>
        </w:tc>
        <w:tc>
          <w:tcPr>
            <w:tcW w:w="1654" w:type="dxa"/>
            <w:noWrap w:val="0"/>
            <w:vAlign w:val="center"/>
          </w:tcPr>
          <w:p w14:paraId="3A29640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121673.18</w:t>
            </w:r>
          </w:p>
        </w:tc>
        <w:tc>
          <w:tcPr>
            <w:tcW w:w="950" w:type="dxa"/>
            <w:noWrap w:val="0"/>
            <w:vAlign w:val="center"/>
          </w:tcPr>
          <w:p w14:paraId="56B50CEE">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J21</w:t>
            </w:r>
          </w:p>
        </w:tc>
        <w:tc>
          <w:tcPr>
            <w:tcW w:w="1655" w:type="dxa"/>
            <w:noWrap w:val="0"/>
            <w:vAlign w:val="center"/>
          </w:tcPr>
          <w:p w14:paraId="05EB97E9">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265550.68</w:t>
            </w:r>
          </w:p>
        </w:tc>
        <w:tc>
          <w:tcPr>
            <w:tcW w:w="1658" w:type="dxa"/>
            <w:noWrap w:val="0"/>
            <w:vAlign w:val="center"/>
          </w:tcPr>
          <w:p w14:paraId="0E429218">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121712.18</w:t>
            </w:r>
          </w:p>
        </w:tc>
      </w:tr>
      <w:tr w14:paraId="19A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56" w:type="dxa"/>
            <w:noWrap w:val="0"/>
            <w:vAlign w:val="center"/>
          </w:tcPr>
          <w:p w14:paraId="4F144830">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J11</w:t>
            </w:r>
          </w:p>
        </w:tc>
        <w:tc>
          <w:tcPr>
            <w:tcW w:w="1654" w:type="dxa"/>
            <w:noWrap w:val="0"/>
            <w:vAlign w:val="center"/>
          </w:tcPr>
          <w:p w14:paraId="66F12CF6">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265735.59</w:t>
            </w:r>
          </w:p>
        </w:tc>
        <w:tc>
          <w:tcPr>
            <w:tcW w:w="1654" w:type="dxa"/>
            <w:noWrap w:val="0"/>
            <w:vAlign w:val="center"/>
          </w:tcPr>
          <w:p w14:paraId="408E3BCD">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121687.26</w:t>
            </w:r>
          </w:p>
        </w:tc>
        <w:tc>
          <w:tcPr>
            <w:tcW w:w="950" w:type="dxa"/>
            <w:noWrap w:val="0"/>
            <w:vAlign w:val="center"/>
          </w:tcPr>
          <w:p w14:paraId="3B1F1D0F">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J22</w:t>
            </w:r>
          </w:p>
        </w:tc>
        <w:tc>
          <w:tcPr>
            <w:tcW w:w="1655" w:type="dxa"/>
            <w:noWrap w:val="0"/>
            <w:vAlign w:val="center"/>
          </w:tcPr>
          <w:p w14:paraId="0C8941F7">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265547.78</w:t>
            </w:r>
          </w:p>
        </w:tc>
        <w:tc>
          <w:tcPr>
            <w:tcW w:w="1658" w:type="dxa"/>
            <w:noWrap w:val="0"/>
            <w:vAlign w:val="center"/>
          </w:tcPr>
          <w:p w14:paraId="6760FF31">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121719.08</w:t>
            </w:r>
          </w:p>
        </w:tc>
      </w:tr>
      <w:tr w14:paraId="15D5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8527" w:type="dxa"/>
            <w:gridSpan w:val="6"/>
            <w:noWrap w:val="0"/>
            <w:vAlign w:val="center"/>
          </w:tcPr>
          <w:p w14:paraId="08FFE915">
            <w:pPr>
              <w:pStyle w:val="9"/>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（宁波市 2000 坐标系，1985 国家高程基准）</w:t>
            </w:r>
          </w:p>
        </w:tc>
      </w:tr>
    </w:tbl>
    <w:p w14:paraId="6EB152CC">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（二）</w:t>
      </w:r>
      <w:r>
        <w:rPr>
          <w:rFonts w:hint="eastAsia" w:ascii="仿宋" w:hAnsi="仿宋" w:eastAsia="仿宋" w:cs="仿宋"/>
          <w:color w:val="000000" w:themeColor="text1"/>
          <w:sz w:val="30"/>
          <w:szCs w:val="30"/>
          <w14:textFill>
            <w14:solidFill>
              <w14:schemeClr w14:val="tx1"/>
            </w14:solidFill>
          </w14:textFill>
        </w:rPr>
        <w:t>工程期限：</w:t>
      </w:r>
      <w:r>
        <w:rPr>
          <w:rFonts w:hint="eastAsia" w:ascii="仿宋" w:hAnsi="仿宋" w:eastAsia="仿宋" w:cs="仿宋"/>
          <w:color w:val="000000" w:themeColor="text1"/>
          <w:sz w:val="30"/>
          <w:szCs w:val="30"/>
          <w:lang w:val="en-US" w:eastAsia="zh-CN"/>
          <w14:textFill>
            <w14:solidFill>
              <w14:schemeClr w14:val="tx1"/>
            </w14:solidFill>
          </w14:textFill>
        </w:rPr>
        <w:t>具体以工程实际开挖进度为准。</w:t>
      </w:r>
    </w:p>
    <w:p w14:paraId="0FB698BB">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（三）设计拟开挖量：4.6万立方米（约9.83万吨），风化层开挖量为3.68万立方米（约8.17万吨），残坡积土体量为0.92万立方米（约1.66万吨）。</w:t>
      </w:r>
    </w:p>
    <w:p w14:paraId="35F3E833">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乙方在拍卖前已赴现场实地踏勘标的物并自行估算，对标的物的具体情况已经充分了解，对标的物的质量和数量（及可能存在的差异）予以认可，无任何异议。</w:t>
      </w:r>
    </w:p>
    <w:p w14:paraId="262C2765">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（四）标的物的数量、重量、品质均为设计估算；数量、重量、品质按实际交付为准（交付时不再过磅），如实际交付有差距，则不进行转让价款的退补，相应风险由乙方自行承担。</w:t>
      </w:r>
    </w:p>
    <w:p w14:paraId="58D1C918">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（五）根据《土石料量估算报告》（ZGK14-B2024-070)，开挖区岩石以固结程度极差的砂砾岩为主，泥砂质胶结物极易风化剥蚀，遇水冲刷易流失，抗压强度均较低，可作宕碴综合利用。</w:t>
      </w:r>
    </w:p>
    <w:p w14:paraId="0CA7657A">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 转让价格</w:t>
      </w:r>
      <w:r>
        <w:rPr>
          <w:rFonts w:hint="eastAsia" w:ascii="仿宋" w:hAnsi="仿宋" w:eastAsia="仿宋" w:cs="仿宋"/>
          <w:b/>
          <w:bCs/>
          <w:color w:val="000000" w:themeColor="text1"/>
          <w:sz w:val="30"/>
          <w:szCs w:val="30"/>
          <w:lang w:eastAsia="zh-CN"/>
          <w14:textFill>
            <w14:solidFill>
              <w14:schemeClr w14:val="tx1"/>
            </w14:solidFill>
          </w14:textFill>
        </w:rPr>
        <w:t>、履约保证金等费用</w:t>
      </w:r>
      <w:r>
        <w:rPr>
          <w:rFonts w:hint="eastAsia" w:ascii="仿宋" w:hAnsi="仿宋" w:eastAsia="仿宋" w:cs="仿宋"/>
          <w:b/>
          <w:bCs/>
          <w:color w:val="000000" w:themeColor="text1"/>
          <w:sz w:val="30"/>
          <w:szCs w:val="30"/>
          <w14:textFill>
            <w14:solidFill>
              <w14:schemeClr w14:val="tx1"/>
            </w14:solidFill>
          </w14:textFill>
        </w:rPr>
        <w:t>及</w:t>
      </w:r>
      <w:r>
        <w:rPr>
          <w:rFonts w:hint="eastAsia" w:ascii="仿宋" w:hAnsi="仿宋" w:eastAsia="仿宋" w:cs="仿宋"/>
          <w:b/>
          <w:bCs/>
          <w:color w:val="000000" w:themeColor="text1"/>
          <w:sz w:val="30"/>
          <w:szCs w:val="30"/>
          <w:lang w:eastAsia="zh-CN"/>
          <w14:textFill>
            <w14:solidFill>
              <w14:schemeClr w14:val="tx1"/>
            </w14:solidFill>
          </w14:textFill>
        </w:rPr>
        <w:t>支付方式</w:t>
      </w:r>
    </w:p>
    <w:p w14:paraId="034605A4">
      <w:pPr>
        <w:pStyle w:val="10"/>
        <w:keepNext w:val="0"/>
        <w:keepLines w:val="0"/>
        <w:pageBreakBefore w:val="0"/>
        <w:kinsoku/>
        <w:wordWrap/>
        <w:overflowPunct/>
        <w:topLinePunct w:val="0"/>
        <w:autoSpaceDE/>
        <w:autoSpaceDN/>
        <w:bidi w:val="0"/>
        <w:adjustRightInd/>
        <w:snapToGrid/>
        <w:spacing w:beforeAutospacing="0" w:afterAutospacing="0" w:line="540" w:lineRule="exact"/>
        <w:ind w:firstLine="450" w:firstLineChars="15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（一）</w:t>
      </w:r>
      <w:r>
        <w:rPr>
          <w:rFonts w:hint="eastAsia" w:ascii="仿宋" w:hAnsi="仿宋" w:eastAsia="仿宋" w:cs="仿宋"/>
          <w:color w:val="000000" w:themeColor="text1"/>
          <w:sz w:val="30"/>
          <w:szCs w:val="30"/>
          <w14:textFill>
            <w14:solidFill>
              <w14:schemeClr w14:val="tx1"/>
            </w14:solidFill>
          </w14:textFill>
        </w:rPr>
        <w:t>本次</w:t>
      </w:r>
      <w:r>
        <w:rPr>
          <w:rFonts w:hint="eastAsia" w:ascii="仿宋" w:hAnsi="仿宋" w:eastAsia="仿宋" w:cs="仿宋"/>
          <w:b/>
          <w:bCs/>
          <w:color w:val="000000" w:themeColor="text1"/>
          <w:sz w:val="30"/>
          <w:szCs w:val="30"/>
          <w14:textFill>
            <w14:solidFill>
              <w14:schemeClr w14:val="tx1"/>
            </w14:solidFill>
          </w14:textFill>
        </w:rPr>
        <w:t>转让价格</w:t>
      </w:r>
      <w:r>
        <w:rPr>
          <w:rFonts w:hint="eastAsia" w:ascii="仿宋" w:hAnsi="仿宋" w:eastAsia="仿宋" w:cs="仿宋"/>
          <w:color w:val="000000" w:themeColor="text1"/>
          <w:sz w:val="30"/>
          <w:szCs w:val="30"/>
          <w14:textFill>
            <w14:solidFill>
              <w14:schemeClr w14:val="tx1"/>
            </w14:solidFill>
          </w14:textFill>
        </w:rPr>
        <w:t>为人民币</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u w:val="none"/>
          <w14:textFill>
            <w14:solidFill>
              <w14:schemeClr w14:val="tx1"/>
            </w14:solidFill>
          </w14:textFill>
        </w:rPr>
        <w:t>元</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大写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2DEE6042">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eastAsia="zh-CN"/>
          <w14:textFill>
            <w14:solidFill>
              <w14:schemeClr w14:val="tx1"/>
            </w14:solidFill>
          </w14:textFill>
        </w:rPr>
        <w:t>万</w:t>
      </w:r>
      <w:r>
        <w:rPr>
          <w:rFonts w:hint="eastAsia" w:ascii="仿宋" w:hAnsi="仿宋" w:eastAsia="仿宋" w:cs="仿宋"/>
          <w:color w:val="000000" w:themeColor="text1"/>
          <w:sz w:val="30"/>
          <w:szCs w:val="30"/>
          <w14:textFill>
            <w14:solidFill>
              <w14:schemeClr w14:val="tx1"/>
            </w14:solidFill>
          </w14:textFill>
        </w:rPr>
        <w:t>元整</w:t>
      </w:r>
      <w:r>
        <w:rPr>
          <w:rFonts w:hint="eastAsia" w:ascii="仿宋" w:hAnsi="仿宋" w:eastAsia="仿宋" w:cs="仿宋"/>
          <w:color w:val="000000" w:themeColor="text1"/>
          <w:sz w:val="30"/>
          <w:szCs w:val="30"/>
          <w:lang w:eastAsia="zh-CN"/>
          <w14:textFill>
            <w14:solidFill>
              <w14:schemeClr w14:val="tx1"/>
            </w14:solidFill>
          </w14:textFill>
        </w:rPr>
        <w:t>。乙方已于</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日前按约定按时足额付清款项；</w:t>
      </w:r>
    </w:p>
    <w:p w14:paraId="5057B0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50" w:firstLineChars="150"/>
        <w:textAlignment w:val="auto"/>
        <w:rPr>
          <w:rFonts w:hint="default"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（二）签订本合同前，乙方已向甲方指定账户交纳</w:t>
      </w:r>
      <w:r>
        <w:rPr>
          <w:rFonts w:hint="eastAsia" w:ascii="仿宋" w:hAnsi="仿宋" w:eastAsia="仿宋" w:cs="仿宋"/>
          <w:b/>
          <w:bCs/>
          <w:color w:val="000000" w:themeColor="text1"/>
          <w:sz w:val="30"/>
          <w:szCs w:val="30"/>
          <w:lang w:val="en-US" w:eastAsia="zh-CN"/>
          <w14:textFill>
            <w14:solidFill>
              <w14:schemeClr w14:val="tx1"/>
            </w14:solidFill>
          </w14:textFill>
        </w:rPr>
        <w:t>履约保证金</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人民币30万元。</w:t>
      </w:r>
      <w:r>
        <w:rPr>
          <w:rFonts w:hint="eastAsia" w:ascii="仿宋" w:hAnsi="仿宋" w:eastAsia="仿宋" w:cs="仿宋"/>
          <w:b w:val="0"/>
          <w:bCs w:val="0"/>
          <w:color w:val="000000" w:themeColor="text1"/>
          <w:sz w:val="30"/>
          <w:szCs w:val="30"/>
          <w:lang w:val="en-US" w:eastAsia="zh-CN"/>
          <w14:textFill>
            <w14:solidFill>
              <w14:schemeClr w14:val="tx1"/>
            </w14:solidFill>
          </w14:textFill>
        </w:rPr>
        <w:t>履约保证金收取后，甲方应向乙方开具收款凭证。履约保证金不足时，乙方须在接甲方通知后3个工作日内补足。待标的物交付完毕且确认双方无纠纷，由甲方一次性退还给乙方（按交款当日的银行同期活期存款利率计息）。</w:t>
      </w:r>
    </w:p>
    <w:p w14:paraId="59550882">
      <w:pPr>
        <w:pStyle w:val="10"/>
        <w:keepNext w:val="0"/>
        <w:keepLines w:val="0"/>
        <w:pageBreakBefore w:val="0"/>
        <w:kinsoku/>
        <w:wordWrap/>
        <w:overflowPunct/>
        <w:topLinePunct w:val="0"/>
        <w:autoSpaceDE/>
        <w:autoSpaceDN/>
        <w:bidi w:val="0"/>
        <w:adjustRightInd/>
        <w:snapToGrid/>
        <w:spacing w:beforeAutospacing="0" w:afterAutospacing="0" w:line="540" w:lineRule="exact"/>
        <w:ind w:firstLine="0" w:firstLineChars="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lang w:eastAsia="zh-CN"/>
          <w14:textFill>
            <w14:solidFill>
              <w14:schemeClr w14:val="tx1"/>
            </w14:solidFill>
          </w14:textFill>
        </w:rPr>
        <w:t>第三条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标的物交付</w:t>
      </w:r>
    </w:p>
    <w:p w14:paraId="663555F4">
      <w:pPr>
        <w:keepNext w:val="0"/>
        <w:keepLines w:val="0"/>
        <w:pageBreakBefore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（一）本合同签订后，根据工程实际开挖进度，由甲方委托施工单位将标的物分批次交付给乙方。</w:t>
      </w:r>
    </w:p>
    <w:p w14:paraId="73CD61D6">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（二）乙方须在拍卖成交后60天内,即</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年</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月</w:t>
      </w:r>
      <w:r>
        <w:rPr>
          <w:rFonts w:hint="eastAsia" w:ascii="仿宋" w:hAnsi="仿宋" w:eastAsia="仿宋" w:cs="仿宋"/>
          <w:color w:val="000000" w:themeColor="text1"/>
          <w:sz w:val="30"/>
          <w:szCs w:val="30"/>
          <w:u w:val="single"/>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日前</w:t>
      </w:r>
      <w:r>
        <w:rPr>
          <w:rFonts w:hint="eastAsia" w:ascii="仿宋" w:hAnsi="仿宋" w:eastAsia="仿宋" w:cs="仿宋"/>
          <w:b w:val="0"/>
          <w:bCs w:val="0"/>
          <w:color w:val="000000" w:themeColor="text1"/>
          <w:sz w:val="30"/>
          <w:szCs w:val="30"/>
          <w:lang w:val="en-US" w:eastAsia="zh-CN"/>
          <w14:textFill>
            <w14:solidFill>
              <w14:schemeClr w14:val="tx1"/>
            </w14:solidFill>
          </w14:textFill>
        </w:rPr>
        <w:t>（因施工进度原因除外）完成土石料的清运。逾期视为自动放弃，甲方有权按废弃物予以处理，相关处置费用由乙方承担，且履约保证金不予退还。</w:t>
      </w:r>
    </w:p>
    <w:p w14:paraId="4C554F86">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乙方须根据施工进度取料，每次须在接到施工单位开挖通知后5天内完成土石料的清运，逾期视为自动放弃，甲方有权按废弃物予以处理，相关处置费用由乙方承担（从履约保证金中扣除）。上述情况超过3次，甲方有权提前终止合同，且履约保证金不予退还。</w:t>
      </w:r>
    </w:p>
    <w:p w14:paraId="492242E9">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如遇特殊情况无法及时清运，乙方必须提前征得甲方的书面同意。</w:t>
      </w:r>
    </w:p>
    <w:p w14:paraId="5BAD6873">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特别约定</w:t>
      </w:r>
    </w:p>
    <w:p w14:paraId="099C5A3E">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（一）</w:t>
      </w:r>
      <w:r>
        <w:rPr>
          <w:rFonts w:hint="eastAsia" w:ascii="仿宋" w:hAnsi="仿宋" w:eastAsia="仿宋" w:cs="仿宋"/>
          <w:color w:val="000000" w:themeColor="text1"/>
          <w:sz w:val="30"/>
          <w:szCs w:val="30"/>
          <w:lang w:val="en-US" w:eastAsia="zh-CN"/>
          <w14:textFill>
            <w14:solidFill>
              <w14:schemeClr w14:val="tx1"/>
            </w14:solidFill>
          </w14:textFill>
        </w:rPr>
        <w:t>土石料外运过程中进来车辆必须按土石料道路清运规定执行，相关工作由街道城管负责监督管理。</w:t>
      </w:r>
    </w:p>
    <w:p w14:paraId="547A8E8F">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450" w:firstLineChars="15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二）乙方在履约期间，须无条件自行承担各类费用及安全环保责任（包括但不限于装卸、运输、安全事故、各类纠纷、税费等）。乙方须设置冲洗设备和设置，保持环境清洁，不污染路面，如有环境污染问题，除移交环保部门和交通综合执法部门处理外，每次处以罚金3万元。</w:t>
      </w:r>
    </w:p>
    <w:p w14:paraId="39BD29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第五条</w:t>
      </w:r>
      <w:r>
        <w:rPr>
          <w:rFonts w:hint="eastAsia" w:ascii="仿宋" w:hAnsi="仿宋" w:eastAsia="仿宋" w:cs="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
          <w:bCs/>
          <w:color w:val="000000" w:themeColor="text1"/>
          <w:sz w:val="30"/>
          <w:szCs w:val="30"/>
          <w14:textFill>
            <w14:solidFill>
              <w14:schemeClr w14:val="tx1"/>
            </w14:solidFill>
          </w14:textFill>
        </w:rPr>
        <w:t>双方</w:t>
      </w:r>
      <w:r>
        <w:rPr>
          <w:rFonts w:hint="eastAsia" w:ascii="仿宋" w:hAnsi="仿宋" w:eastAsia="仿宋" w:cs="仿宋"/>
          <w:b/>
          <w:bCs/>
          <w:color w:val="000000" w:themeColor="text1"/>
          <w:sz w:val="30"/>
          <w:szCs w:val="30"/>
          <w:lang w:eastAsia="zh-CN"/>
          <w14:textFill>
            <w14:solidFill>
              <w14:schemeClr w14:val="tx1"/>
            </w14:solidFill>
          </w14:textFill>
        </w:rPr>
        <w:t>的</w:t>
      </w:r>
      <w:r>
        <w:rPr>
          <w:rFonts w:hint="eastAsia" w:ascii="仿宋" w:hAnsi="仿宋" w:eastAsia="仿宋" w:cs="仿宋"/>
          <w:b/>
          <w:bCs/>
          <w:color w:val="000000" w:themeColor="text1"/>
          <w:sz w:val="30"/>
          <w:szCs w:val="30"/>
          <w14:textFill>
            <w14:solidFill>
              <w14:schemeClr w14:val="tx1"/>
            </w14:solidFill>
          </w14:textFill>
        </w:rPr>
        <w:t>权利和义务</w:t>
      </w:r>
    </w:p>
    <w:p w14:paraId="0DD32E55">
      <w:pPr>
        <w:pStyle w:val="2"/>
        <w:keepNext/>
        <w:keepLines/>
        <w:pageBreakBefore w:val="0"/>
        <w:widowControl w:val="0"/>
        <w:kinsoku/>
        <w:wordWrap/>
        <w:overflowPunct/>
        <w:topLinePunct w:val="0"/>
        <w:autoSpaceDE/>
        <w:autoSpaceDN/>
        <w:bidi w:val="0"/>
        <w:adjustRightInd/>
        <w:snapToGrid/>
        <w:spacing w:before="0" w:after="0" w:line="54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（一）甲方的权利和义务</w:t>
      </w:r>
    </w:p>
    <w:p w14:paraId="168BD5D3">
      <w:pPr>
        <w:pStyle w:val="2"/>
        <w:pageBreakBefore w:val="0"/>
        <w:widowControl w:val="0"/>
        <w:kinsoku/>
        <w:wordWrap/>
        <w:overflowPunct/>
        <w:topLinePunct w:val="0"/>
        <w:autoSpaceDE/>
        <w:autoSpaceDN/>
        <w:bidi w:val="0"/>
        <w:adjustRightInd/>
        <w:snapToGrid/>
        <w:spacing w:before="0" w:after="0" w:line="540" w:lineRule="exact"/>
        <w:ind w:firstLine="600" w:firstLineChars="200"/>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甲方应保证对转让标的物享有所有权或处置权。</w:t>
      </w:r>
    </w:p>
    <w:p w14:paraId="6F036404">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、甲方对乙方清运行为有监督管理的权利。</w:t>
      </w:r>
    </w:p>
    <w:p w14:paraId="2044C86E">
      <w:pPr>
        <w:pStyle w:val="2"/>
        <w:keepNext/>
        <w:keepLines/>
        <w:pageBreakBefore w:val="0"/>
        <w:widowControl w:val="0"/>
        <w:kinsoku/>
        <w:wordWrap/>
        <w:overflowPunct/>
        <w:topLinePunct w:val="0"/>
        <w:autoSpaceDE/>
        <w:autoSpaceDN/>
        <w:bidi w:val="0"/>
        <w:adjustRightInd/>
        <w:snapToGrid/>
        <w:spacing w:before="0" w:after="0" w:line="540" w:lineRule="exact"/>
        <w:ind w:firstLine="452" w:firstLineChars="150"/>
        <w:textAlignment w:val="auto"/>
        <w:rPr>
          <w:rFonts w:hint="eastAsia" w:ascii="仿宋" w:hAnsi="仿宋" w:eastAsia="仿宋" w:cs="仿宋"/>
          <w:b/>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2"/>
          <w:sz w:val="30"/>
          <w:szCs w:val="30"/>
          <w:lang w:val="en-US" w:eastAsia="zh-CN" w:bidi="ar-SA"/>
          <w14:textFill>
            <w14:solidFill>
              <w14:schemeClr w14:val="tx1"/>
            </w14:solidFill>
          </w14:textFill>
        </w:rPr>
        <w:t>（二）乙方的权利和义务</w:t>
      </w:r>
    </w:p>
    <w:p w14:paraId="31235176">
      <w:pPr>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1、乙方应按照约定时间足额支付转让款、履约保证金等款项。</w:t>
      </w:r>
    </w:p>
    <w:p w14:paraId="494A4424">
      <w:pPr>
        <w:pageBreakBefore w:val="0"/>
        <w:widowControl w:val="0"/>
        <w:kinsoku/>
        <w:wordWrap/>
        <w:overflowPunct/>
        <w:topLinePunct w:val="0"/>
        <w:autoSpaceDE/>
        <w:autoSpaceDN/>
        <w:bidi w:val="0"/>
        <w:adjustRightInd/>
        <w:snapToGrid/>
        <w:spacing w:line="540" w:lineRule="exact"/>
        <w:ind w:firstLine="6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2、乙方须根据施工进度随时取料，同时自行做好土石料管理与施工单位的协调工作。</w:t>
      </w:r>
    </w:p>
    <w:p w14:paraId="1D9B26C0">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3、乙方须自行办理清运相关手续、承担费用，并组织机械设备及装运车辆（不得超过20吨）清运；且在清运期间不得影响周边居民、企业的正常生活及生产，确保道路通畅。如遇道路通行、人身财产安全和损坏问题，均由乙方自行解决，与甲方无涉。</w:t>
      </w:r>
    </w:p>
    <w:p w14:paraId="7102FB1C">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4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4、</w:t>
      </w:r>
      <w:r>
        <w:rPr>
          <w:rFonts w:hint="eastAsia" w:ascii="仿宋" w:hAnsi="仿宋" w:eastAsia="仿宋" w:cs="仿宋"/>
          <w:color w:val="000000" w:themeColor="text1"/>
          <w:sz w:val="30"/>
          <w:szCs w:val="30"/>
          <w:lang w:val="en-US" w:eastAsia="zh-CN"/>
          <w14:textFill>
            <w14:solidFill>
              <w14:schemeClr w14:val="tx1"/>
            </w14:solidFill>
          </w14:textFill>
        </w:rPr>
        <w:t>乙方须严格遵守国家安全生产的法律法规和标准进行装卸、清运，并制定相对应的安全事故应急处置预案，确保清运工作顺利完成。</w:t>
      </w:r>
    </w:p>
    <w:p w14:paraId="103B4EB2">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540" w:lineRule="exact"/>
        <w:ind w:firstLine="60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SA"/>
          <w14:textFill>
            <w14:solidFill>
              <w14:schemeClr w14:val="tx1"/>
            </w14:solidFill>
          </w14:textFill>
        </w:rPr>
        <w:t>乙方应为所有作业人员购买相应人身意外保险，如发生安全事故所造成的一切损失由乙方自行承担，与甲方无涉。</w:t>
      </w:r>
    </w:p>
    <w:p w14:paraId="21166204">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如</w:t>
      </w:r>
      <w:r>
        <w:rPr>
          <w:rFonts w:hint="eastAsia" w:ascii="仿宋" w:hAnsi="仿宋" w:eastAsia="仿宋" w:cs="仿宋"/>
          <w:color w:val="000000" w:themeColor="text1"/>
          <w:sz w:val="30"/>
          <w:szCs w:val="30"/>
          <w14:textFill>
            <w14:solidFill>
              <w14:schemeClr w14:val="tx1"/>
            </w14:solidFill>
          </w14:textFill>
        </w:rPr>
        <w:t>发生重大安全事故或人员伤亡时，乙方应采取必要的措施，及时抢救伤员，防止事态进一步扩大、减少损失，同时须立即报告甲方</w:t>
      </w:r>
      <w:r>
        <w:rPr>
          <w:rFonts w:hint="eastAsia" w:ascii="仿宋" w:hAnsi="仿宋" w:eastAsia="仿宋" w:cs="仿宋"/>
          <w:color w:val="000000" w:themeColor="text1"/>
          <w:sz w:val="30"/>
          <w:szCs w:val="30"/>
          <w:lang w:eastAsia="zh-CN"/>
          <w14:textFill>
            <w14:solidFill>
              <w14:schemeClr w14:val="tx1"/>
            </w14:solidFill>
          </w14:textFill>
        </w:rPr>
        <w:t>及相关部门</w:t>
      </w:r>
      <w:r>
        <w:rPr>
          <w:rFonts w:hint="eastAsia" w:ascii="仿宋" w:hAnsi="仿宋" w:eastAsia="仿宋" w:cs="仿宋"/>
          <w:color w:val="000000" w:themeColor="text1"/>
          <w:sz w:val="30"/>
          <w:szCs w:val="30"/>
          <w14:textFill>
            <w14:solidFill>
              <w14:schemeClr w14:val="tx1"/>
            </w14:solidFill>
          </w14:textFill>
        </w:rPr>
        <w:t>。</w:t>
      </w:r>
    </w:p>
    <w:p w14:paraId="12E2CE68">
      <w:pPr>
        <w:pStyle w:val="2"/>
        <w:pageBreakBefore w:val="0"/>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5、乙方</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的车辆和机械应在指定位置装卸</w:t>
      </w: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rPr>
        <w:t>土石料</w:t>
      </w:r>
      <w:r>
        <w:rPr>
          <w:rFonts w:hint="default" w:ascii="仿宋" w:hAnsi="仿宋" w:eastAsia="仿宋" w:cs="仿宋"/>
          <w:b w:val="0"/>
          <w:bCs w:val="0"/>
          <w:color w:val="000000" w:themeColor="text1"/>
          <w:kern w:val="2"/>
          <w:sz w:val="30"/>
          <w:szCs w:val="30"/>
          <w:lang w:val="en-US" w:eastAsia="zh-CN" w:bidi="ar-SA"/>
          <w14:textFill>
            <w14:solidFill>
              <w14:schemeClr w14:val="tx1"/>
            </w14:solidFill>
          </w14:textFill>
        </w:rPr>
        <w:t>，不得进入山体开挖区域内，不得干扰余姚经济开发区西南园区配套道路（一期）工程的施工单位施工，不得占用施工通道。如有违约，每次可以视情况处以违约金3至6万元。</w:t>
      </w:r>
    </w:p>
    <w:p w14:paraId="6CC8F0C0">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6、乙方在履约期间，被第三方投诉或者诉讼的，由乙方自行解决，由此引起的法律风险和经济损失由乙方自行承担。</w:t>
      </w:r>
    </w:p>
    <w:p w14:paraId="110FD78A">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7、在履约期间，因乙方原因（包括但不限于安全责任事故等）造成第三方人身损害及财产损失的，由乙方自行承担责任和负责赔偿，与甲方无涉。</w:t>
      </w:r>
    </w:p>
    <w:p w14:paraId="55AD798F">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    第</w:t>
      </w:r>
      <w:r>
        <w:rPr>
          <w:rFonts w:hint="eastAsia" w:ascii="仿宋" w:hAnsi="仿宋" w:eastAsia="仿宋" w:cs="仿宋"/>
          <w:b/>
          <w:bCs/>
          <w:color w:val="000000" w:themeColor="text1"/>
          <w:kern w:val="0"/>
          <w:sz w:val="30"/>
          <w:szCs w:val="30"/>
          <w:lang w:eastAsia="zh-CN"/>
          <w14:textFill>
            <w14:solidFill>
              <w14:schemeClr w14:val="tx1"/>
            </w14:solidFill>
          </w14:textFill>
        </w:rPr>
        <w:t>六</w:t>
      </w:r>
      <w:r>
        <w:rPr>
          <w:rFonts w:hint="eastAsia" w:ascii="仿宋" w:hAnsi="仿宋" w:eastAsia="仿宋" w:cs="仿宋"/>
          <w:b/>
          <w:bCs/>
          <w:color w:val="000000" w:themeColor="text1"/>
          <w:kern w:val="0"/>
          <w:sz w:val="30"/>
          <w:szCs w:val="30"/>
          <w14:textFill>
            <w14:solidFill>
              <w14:schemeClr w14:val="tx1"/>
            </w14:solidFill>
          </w14:textFill>
        </w:rPr>
        <w:t>条 违约责任</w:t>
      </w:r>
    </w:p>
    <w:p w14:paraId="40BA2D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（一）乙方出现下列情形之一的，</w:t>
      </w:r>
      <w:r>
        <w:rPr>
          <w:rFonts w:hint="eastAsia" w:ascii="仿宋" w:hAnsi="仿宋" w:eastAsia="仿宋" w:cs="仿宋"/>
          <w:color w:val="000000" w:themeColor="text1"/>
          <w:sz w:val="30"/>
          <w:szCs w:val="30"/>
          <w:lang w:eastAsia="zh-CN"/>
          <w14:textFill>
            <w14:solidFill>
              <w14:schemeClr w14:val="tx1"/>
            </w14:solidFill>
          </w14:textFill>
        </w:rPr>
        <w:t>属违约，</w:t>
      </w:r>
      <w:r>
        <w:rPr>
          <w:rFonts w:hint="eastAsia" w:ascii="仿宋" w:hAnsi="仿宋" w:eastAsia="仿宋" w:cs="仿宋"/>
          <w:color w:val="000000" w:themeColor="text1"/>
          <w:sz w:val="30"/>
          <w:szCs w:val="30"/>
          <w14:textFill>
            <w14:solidFill>
              <w14:schemeClr w14:val="tx1"/>
            </w14:solidFill>
          </w14:textFill>
        </w:rPr>
        <w:t>甲方有权解除本合同</w:t>
      </w:r>
      <w:r>
        <w:rPr>
          <w:rFonts w:hint="eastAsia" w:ascii="仿宋" w:hAnsi="仿宋" w:eastAsia="仿宋" w:cs="仿宋"/>
          <w:color w:val="000000" w:themeColor="text1"/>
          <w:sz w:val="30"/>
          <w:szCs w:val="30"/>
          <w:lang w:eastAsia="zh-CN"/>
          <w14:textFill>
            <w14:solidFill>
              <w14:schemeClr w14:val="tx1"/>
            </w14:solidFill>
          </w14:textFill>
        </w:rPr>
        <w:t>，同时</w:t>
      </w:r>
      <w:r>
        <w:rPr>
          <w:rFonts w:hint="eastAsia" w:ascii="仿宋" w:hAnsi="仿宋" w:eastAsia="仿宋" w:cs="仿宋"/>
          <w:color w:val="000000" w:themeColor="text1"/>
          <w:sz w:val="30"/>
          <w:szCs w:val="30"/>
          <w14:textFill>
            <w14:solidFill>
              <w14:schemeClr w14:val="tx1"/>
            </w14:solidFill>
          </w14:textFill>
        </w:rPr>
        <w:t>不予退还</w:t>
      </w:r>
      <w:r>
        <w:rPr>
          <w:rFonts w:hint="eastAsia" w:ascii="仿宋" w:hAnsi="仿宋" w:eastAsia="仿宋" w:cs="仿宋"/>
          <w:color w:val="000000" w:themeColor="text1"/>
          <w:sz w:val="30"/>
          <w:szCs w:val="30"/>
          <w:lang w:eastAsia="zh-CN"/>
          <w14:textFill>
            <w14:solidFill>
              <w14:schemeClr w14:val="tx1"/>
            </w14:solidFill>
          </w14:textFill>
        </w:rPr>
        <w:t>转让价款和履约保证金</w:t>
      </w:r>
      <w:r>
        <w:rPr>
          <w:rFonts w:hint="eastAsia" w:ascii="仿宋" w:hAnsi="仿宋" w:eastAsia="仿宋" w:cs="仿宋"/>
          <w:color w:val="000000" w:themeColor="text1"/>
          <w:sz w:val="30"/>
          <w:szCs w:val="30"/>
          <w14:textFill>
            <w14:solidFill>
              <w14:schemeClr w14:val="tx1"/>
            </w14:solidFill>
          </w14:textFill>
        </w:rPr>
        <w:t>，且乙方</w:t>
      </w:r>
      <w:r>
        <w:rPr>
          <w:rFonts w:hint="eastAsia" w:ascii="仿宋" w:hAnsi="仿宋" w:eastAsia="仿宋" w:cs="仿宋"/>
          <w:color w:val="000000" w:themeColor="text1"/>
          <w:sz w:val="30"/>
          <w:szCs w:val="30"/>
          <w:lang w:eastAsia="zh-CN"/>
          <w14:textFill>
            <w14:solidFill>
              <w14:schemeClr w14:val="tx1"/>
            </w14:solidFill>
          </w14:textFill>
        </w:rPr>
        <w:t>丧失继续取得土石料的权利，并承担</w:t>
      </w:r>
      <w:r>
        <w:rPr>
          <w:rFonts w:hint="eastAsia" w:ascii="仿宋" w:hAnsi="仿宋" w:eastAsia="仿宋" w:cs="仿宋"/>
          <w:color w:val="000000" w:themeColor="text1"/>
          <w:sz w:val="30"/>
          <w:szCs w:val="30"/>
          <w14:textFill>
            <w14:solidFill>
              <w14:schemeClr w14:val="tx1"/>
            </w14:solidFill>
          </w14:textFill>
        </w:rPr>
        <w:t>甲方的一切损失：</w:t>
      </w:r>
    </w:p>
    <w:p w14:paraId="25EF1D13">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1、与施工</w:t>
      </w:r>
      <w:r>
        <w:rPr>
          <w:rFonts w:hint="eastAsia" w:ascii="仿宋" w:hAnsi="仿宋" w:eastAsia="仿宋" w:cs="仿宋"/>
          <w:color w:val="000000" w:themeColor="text1"/>
          <w:sz w:val="30"/>
          <w:szCs w:val="30"/>
          <w:lang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勾结，</w:t>
      </w:r>
      <w:r>
        <w:rPr>
          <w:rFonts w:hint="eastAsia" w:ascii="仿宋" w:hAnsi="仿宋" w:eastAsia="仿宋" w:cs="仿宋"/>
          <w:color w:val="000000" w:themeColor="text1"/>
          <w:sz w:val="30"/>
          <w:szCs w:val="30"/>
          <w:lang w:eastAsia="zh-CN"/>
          <w14:textFill>
            <w14:solidFill>
              <w14:schemeClr w14:val="tx1"/>
            </w14:solidFill>
          </w14:textFill>
        </w:rPr>
        <w:t>或擅自开挖，</w:t>
      </w:r>
      <w:r>
        <w:rPr>
          <w:rFonts w:hint="eastAsia" w:ascii="仿宋" w:hAnsi="仿宋" w:eastAsia="仿宋" w:cs="仿宋"/>
          <w:color w:val="000000" w:themeColor="text1"/>
          <w:kern w:val="0"/>
          <w:sz w:val="30"/>
          <w:szCs w:val="30"/>
          <w14:textFill>
            <w14:solidFill>
              <w14:schemeClr w14:val="tx1"/>
            </w14:solidFill>
          </w14:textFill>
        </w:rPr>
        <w:t>侵吞</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且数量较大的；</w:t>
      </w:r>
    </w:p>
    <w:p w14:paraId="314A04F5">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2、发生重大安全事故等</w:t>
      </w:r>
      <w:r>
        <w:rPr>
          <w:rFonts w:hint="eastAsia" w:ascii="仿宋" w:hAnsi="仿宋" w:eastAsia="仿宋" w:cs="仿宋"/>
          <w:color w:val="000000" w:themeColor="text1"/>
          <w:sz w:val="30"/>
          <w:szCs w:val="30"/>
          <w:lang w:eastAsia="zh-CN"/>
          <w14:textFill>
            <w14:solidFill>
              <w14:schemeClr w14:val="tx1"/>
            </w14:solidFill>
          </w14:textFill>
        </w:rPr>
        <w:t>造成恶劣影响和社会负面舆论的；</w:t>
      </w:r>
    </w:p>
    <w:p w14:paraId="6B55E4E2">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205814C5">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（二）甲方出现下列情形之一，</w:t>
      </w:r>
      <w:r>
        <w:rPr>
          <w:rFonts w:hint="eastAsia" w:ascii="仿宋" w:hAnsi="仿宋" w:eastAsia="仿宋" w:cs="仿宋"/>
          <w:color w:val="000000" w:themeColor="text1"/>
          <w:kern w:val="0"/>
          <w:sz w:val="30"/>
          <w:szCs w:val="30"/>
          <w:lang w:eastAsia="zh-CN"/>
          <w14:textFill>
            <w14:solidFill>
              <w14:schemeClr w14:val="tx1"/>
            </w14:solidFill>
          </w14:textFill>
        </w:rPr>
        <w:t>属违约，</w:t>
      </w:r>
      <w:r>
        <w:rPr>
          <w:rFonts w:hint="eastAsia" w:ascii="仿宋" w:hAnsi="仿宋" w:eastAsia="仿宋" w:cs="仿宋"/>
          <w:color w:val="000000" w:themeColor="text1"/>
          <w:kern w:val="0"/>
          <w:sz w:val="30"/>
          <w:szCs w:val="30"/>
          <w14:textFill>
            <w14:solidFill>
              <w14:schemeClr w14:val="tx1"/>
            </w14:solidFill>
          </w14:textFill>
        </w:rPr>
        <w:t>乙方有权解除本合同，且</w:t>
      </w:r>
      <w:r>
        <w:rPr>
          <w:rFonts w:hint="eastAsia" w:ascii="仿宋" w:hAnsi="仿宋" w:eastAsia="仿宋" w:cs="仿宋"/>
          <w:color w:val="000000" w:themeColor="text1"/>
          <w:kern w:val="0"/>
          <w:sz w:val="30"/>
          <w:szCs w:val="30"/>
          <w:lang w:eastAsia="zh-CN"/>
          <w14:textFill>
            <w14:solidFill>
              <w14:schemeClr w14:val="tx1"/>
            </w14:solidFill>
          </w14:textFill>
        </w:rPr>
        <w:t>有权</w:t>
      </w:r>
      <w:r>
        <w:rPr>
          <w:rFonts w:hint="eastAsia" w:ascii="仿宋" w:hAnsi="仿宋" w:eastAsia="仿宋" w:cs="仿宋"/>
          <w:color w:val="000000" w:themeColor="text1"/>
          <w:kern w:val="0"/>
          <w:sz w:val="30"/>
          <w:szCs w:val="30"/>
          <w14:textFill>
            <w14:solidFill>
              <w14:schemeClr w14:val="tx1"/>
            </w14:solidFill>
          </w14:textFill>
        </w:rPr>
        <w:t>向甲方要求赔偿由此所造成的损失：</w:t>
      </w:r>
    </w:p>
    <w:p w14:paraId="737A82D3">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因施工工程调整导致设计量出现</w:t>
      </w:r>
      <w:r>
        <w:rPr>
          <w:rFonts w:hint="eastAsia" w:ascii="仿宋" w:hAnsi="仿宋" w:eastAsia="仿宋" w:cs="仿宋"/>
          <w:color w:val="000000" w:themeColor="text1"/>
          <w:kern w:val="0"/>
          <w:sz w:val="30"/>
          <w:szCs w:val="30"/>
          <w14:textFill>
            <w14:solidFill>
              <w14:schemeClr w14:val="tx1"/>
            </w14:solidFill>
          </w14:textFill>
        </w:rPr>
        <w:t>大幅度调整且未书面通知乙方的；</w:t>
      </w:r>
    </w:p>
    <w:p w14:paraId="4F315018">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在未函告乙方的情况下，</w:t>
      </w:r>
      <w:r>
        <w:rPr>
          <w:rFonts w:hint="eastAsia" w:ascii="仿宋" w:hAnsi="仿宋" w:eastAsia="仿宋" w:cs="仿宋"/>
          <w:color w:val="000000" w:themeColor="text1"/>
          <w:kern w:val="0"/>
          <w:sz w:val="30"/>
          <w:szCs w:val="30"/>
          <w14:textFill>
            <w14:solidFill>
              <w14:schemeClr w14:val="tx1"/>
            </w14:solidFill>
          </w14:textFill>
        </w:rPr>
        <w:t>擅自将</w:t>
      </w:r>
      <w:r>
        <w:rPr>
          <w:rFonts w:hint="eastAsia" w:ascii="仿宋" w:hAnsi="仿宋" w:eastAsia="仿宋" w:cs="仿宋"/>
          <w:color w:val="000000" w:themeColor="text1"/>
          <w:kern w:val="0"/>
          <w:sz w:val="30"/>
          <w:szCs w:val="30"/>
          <w:lang w:eastAsia="zh-CN"/>
          <w14:textFill>
            <w14:solidFill>
              <w14:schemeClr w14:val="tx1"/>
            </w14:solidFill>
          </w14:textFill>
        </w:rPr>
        <w:t>土石料</w:t>
      </w:r>
      <w:r>
        <w:rPr>
          <w:rFonts w:hint="eastAsia" w:ascii="仿宋" w:hAnsi="仿宋" w:eastAsia="仿宋" w:cs="仿宋"/>
          <w:color w:val="000000" w:themeColor="text1"/>
          <w:kern w:val="0"/>
          <w:sz w:val="30"/>
          <w:szCs w:val="30"/>
          <w14:textFill>
            <w14:solidFill>
              <w14:schemeClr w14:val="tx1"/>
            </w14:solidFill>
          </w14:textFill>
        </w:rPr>
        <w:t>处置的。</w:t>
      </w:r>
    </w:p>
    <w:p w14:paraId="1FDF5302">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0" w:firstLineChars="200"/>
        <w:textAlignment w:val="auto"/>
        <w:rPr>
          <w:rFonts w:hint="eastAsia"/>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、其他违反合同约定的事项。</w:t>
      </w:r>
    </w:p>
    <w:p w14:paraId="665C44BF">
      <w:pPr>
        <w:keepNext w:val="0"/>
        <w:keepLines w:val="0"/>
        <w:pageBreakBefore w:val="0"/>
        <w:widowControl w:val="0"/>
        <w:tabs>
          <w:tab w:val="left" w:pos="8280"/>
        </w:tabs>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第</w:t>
      </w:r>
      <w:r>
        <w:rPr>
          <w:rFonts w:hint="eastAsia" w:ascii="仿宋" w:hAnsi="仿宋" w:eastAsia="仿宋" w:cs="仿宋"/>
          <w:b/>
          <w:bCs/>
          <w:color w:val="000000" w:themeColor="text1"/>
          <w:kern w:val="0"/>
          <w:sz w:val="30"/>
          <w:szCs w:val="30"/>
          <w:lang w:eastAsia="zh-CN"/>
          <w14:textFill>
            <w14:solidFill>
              <w14:schemeClr w14:val="tx1"/>
            </w14:solidFill>
          </w14:textFill>
        </w:rPr>
        <w:t>七</w:t>
      </w:r>
      <w:r>
        <w:rPr>
          <w:rFonts w:hint="eastAsia" w:ascii="仿宋" w:hAnsi="仿宋" w:eastAsia="仿宋" w:cs="仿宋"/>
          <w:b/>
          <w:bCs/>
          <w:color w:val="000000" w:themeColor="text1"/>
          <w:kern w:val="0"/>
          <w:sz w:val="30"/>
          <w:szCs w:val="30"/>
          <w14:textFill>
            <w14:solidFill>
              <w14:schemeClr w14:val="tx1"/>
            </w14:solidFill>
          </w14:textFill>
        </w:rPr>
        <w:t>条 不可抗力</w:t>
      </w:r>
    </w:p>
    <w:p w14:paraId="38A892A9">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（一）因大雨等恶劣天气、相关职能部门因管理需要</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要求停运或其他不可抗力等原因需延长标的物提取时间的，乙方须向甲方提出书面申请，经甲方同意后方可顺延。</w:t>
      </w:r>
    </w:p>
    <w:p w14:paraId="30E63821">
      <w:pPr>
        <w:keepNext w:val="0"/>
        <w:keepLines w:val="0"/>
        <w:pageBreakBefore w:val="0"/>
        <w:widowControl w:val="0"/>
        <w:tabs>
          <w:tab w:val="left" w:pos="8280"/>
        </w:tabs>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   （二）</w:t>
      </w:r>
      <w:r>
        <w:rPr>
          <w:rFonts w:hint="eastAsia" w:ascii="仿宋" w:hAnsi="仿宋" w:eastAsia="仿宋" w:cs="仿宋"/>
          <w:color w:val="000000" w:themeColor="text1"/>
          <w:sz w:val="30"/>
          <w:szCs w:val="30"/>
          <w14:textFill>
            <w14:solidFill>
              <w14:schemeClr w14:val="tx1"/>
            </w14:solidFill>
          </w14:textFill>
        </w:rPr>
        <w:t>因不可抗力情形导致标的物灭失且无法在履行合同时，甲乙双方均不作任何补偿，</w:t>
      </w:r>
      <w:r>
        <w:rPr>
          <w:rFonts w:hint="eastAsia" w:ascii="仿宋" w:hAnsi="仿宋" w:eastAsia="仿宋" w:cs="仿宋"/>
          <w:color w:val="000000" w:themeColor="text1"/>
          <w:sz w:val="30"/>
          <w:szCs w:val="30"/>
          <w:lang w:eastAsia="zh-CN"/>
          <w14:textFill>
            <w14:solidFill>
              <w14:schemeClr w14:val="tx1"/>
            </w14:solidFill>
          </w14:textFill>
        </w:rPr>
        <w:t>转让</w:t>
      </w:r>
      <w:r>
        <w:rPr>
          <w:rFonts w:hint="eastAsia" w:ascii="仿宋" w:hAnsi="仿宋" w:eastAsia="仿宋" w:cs="仿宋"/>
          <w:color w:val="000000" w:themeColor="text1"/>
          <w:sz w:val="30"/>
          <w:szCs w:val="30"/>
          <w14:textFill>
            <w14:solidFill>
              <w14:schemeClr w14:val="tx1"/>
            </w14:solidFill>
          </w14:textFill>
        </w:rPr>
        <w:t>价款按实际提取量</w:t>
      </w:r>
      <w:r>
        <w:rPr>
          <w:rFonts w:hint="eastAsia" w:ascii="仿宋" w:hAnsi="仿宋" w:eastAsia="仿宋" w:cs="仿宋"/>
          <w:color w:val="000000" w:themeColor="text1"/>
          <w:sz w:val="30"/>
          <w:szCs w:val="30"/>
          <w:lang w:eastAsia="zh-CN"/>
          <w14:textFill>
            <w14:solidFill>
              <w14:schemeClr w14:val="tx1"/>
            </w14:solidFill>
          </w14:textFill>
        </w:rPr>
        <w:t>（设计拟开挖量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剩余未开挖量</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结算。</w:t>
      </w:r>
    </w:p>
    <w:p w14:paraId="157BC718">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八</w:t>
      </w:r>
      <w:r>
        <w:rPr>
          <w:rFonts w:hint="eastAsia" w:ascii="仿宋" w:hAnsi="仿宋" w:eastAsia="仿宋" w:cs="仿宋"/>
          <w:b/>
          <w:bCs/>
          <w:color w:val="000000" w:themeColor="text1"/>
          <w:sz w:val="30"/>
          <w:szCs w:val="30"/>
          <w14:textFill>
            <w14:solidFill>
              <w14:schemeClr w14:val="tx1"/>
            </w14:solidFill>
          </w14:textFill>
        </w:rPr>
        <w:t>条 补充与变更</w:t>
      </w:r>
    </w:p>
    <w:p w14:paraId="28D3AC82">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本合同可根据各方意见进行书面修改或补充，由此形成的补充协议，与本合同具有相同法律效力。</w:t>
      </w:r>
    </w:p>
    <w:p w14:paraId="11D51235">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九</w:t>
      </w:r>
      <w:r>
        <w:rPr>
          <w:rFonts w:hint="eastAsia" w:ascii="仿宋" w:hAnsi="仿宋" w:eastAsia="仿宋" w:cs="仿宋"/>
          <w:b/>
          <w:bCs/>
          <w:color w:val="000000" w:themeColor="text1"/>
          <w:sz w:val="30"/>
          <w:szCs w:val="30"/>
          <w14:textFill>
            <w14:solidFill>
              <w14:schemeClr w14:val="tx1"/>
            </w14:solidFill>
          </w14:textFill>
        </w:rPr>
        <w:t>条 争议的解决</w:t>
      </w:r>
    </w:p>
    <w:p w14:paraId="74342D0E">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各方当事人对本合同有关条款的解释或履行发生争议时，应通过友好协商的方式予以解决，经协商未达成书面协议，则任何一方当事人均有权向余姚市人民法院提起诉讼。</w:t>
      </w:r>
    </w:p>
    <w:p w14:paraId="5F6087E0">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w:t>
      </w:r>
      <w:r>
        <w:rPr>
          <w:rFonts w:hint="eastAsia" w:ascii="仿宋" w:hAnsi="仿宋" w:eastAsia="仿宋" w:cs="仿宋"/>
          <w:b/>
          <w:bCs/>
          <w:color w:val="000000" w:themeColor="text1"/>
          <w:sz w:val="30"/>
          <w:szCs w:val="30"/>
          <w14:textFill>
            <w14:solidFill>
              <w14:schemeClr w14:val="tx1"/>
            </w14:solidFill>
          </w14:textFill>
        </w:rPr>
        <w:t>条 协议和条款效力</w:t>
      </w:r>
    </w:p>
    <w:p w14:paraId="332C4D0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（一）甲乙双方因本次拍卖行为</w:t>
      </w:r>
      <w:r>
        <w:rPr>
          <w:rFonts w:hint="eastAsia" w:ascii="仿宋" w:hAnsi="仿宋" w:eastAsia="仿宋" w:cs="仿宋"/>
          <w:color w:val="000000" w:themeColor="text1"/>
          <w:sz w:val="30"/>
          <w:szCs w:val="30"/>
          <w:lang w:eastAsia="zh-CN"/>
          <w14:textFill>
            <w14:solidFill>
              <w14:schemeClr w14:val="tx1"/>
            </w14:solidFill>
          </w14:textFill>
        </w:rPr>
        <w:t>而</w:t>
      </w:r>
      <w:r>
        <w:rPr>
          <w:rFonts w:hint="eastAsia" w:ascii="仿宋" w:hAnsi="仿宋" w:eastAsia="仿宋" w:cs="仿宋"/>
          <w:color w:val="000000" w:themeColor="text1"/>
          <w:sz w:val="30"/>
          <w:szCs w:val="30"/>
          <w14:textFill>
            <w14:solidFill>
              <w14:schemeClr w14:val="tx1"/>
            </w14:solidFill>
          </w14:textFill>
        </w:rPr>
        <w:t>签署的各种文书及协议，为本合同的有效组织部分，均具有同等法律效</w:t>
      </w:r>
      <w:r>
        <w:rPr>
          <w:rFonts w:hint="eastAsia" w:ascii="仿宋" w:hAnsi="仿宋" w:eastAsia="仿宋" w:cs="仿宋"/>
          <w:color w:val="000000" w:themeColor="text1"/>
          <w:sz w:val="30"/>
          <w:szCs w:val="30"/>
          <w:lang w:eastAsia="zh-CN"/>
          <w14:textFill>
            <w14:solidFill>
              <w14:schemeClr w14:val="tx1"/>
            </w14:solidFill>
          </w14:textFill>
        </w:rPr>
        <w:t>力</w:t>
      </w:r>
      <w:r>
        <w:rPr>
          <w:rFonts w:hint="eastAsia" w:ascii="仿宋" w:hAnsi="仿宋" w:eastAsia="仿宋" w:cs="仿宋"/>
          <w:color w:val="000000" w:themeColor="text1"/>
          <w:sz w:val="30"/>
          <w:szCs w:val="30"/>
          <w14:textFill>
            <w14:solidFill>
              <w14:schemeClr w14:val="tx1"/>
            </w14:solidFill>
          </w14:textFill>
        </w:rPr>
        <w:t>。</w:t>
      </w:r>
    </w:p>
    <w:p w14:paraId="196CE38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14:paraId="02A5D5D8">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w:t>
      </w:r>
      <w:r>
        <w:rPr>
          <w:rFonts w:hint="eastAsia" w:ascii="仿宋" w:hAnsi="仿宋" w:eastAsia="仿宋" w:cs="仿宋"/>
          <w:b/>
          <w:bCs/>
          <w:color w:val="000000" w:themeColor="text1"/>
          <w:sz w:val="30"/>
          <w:szCs w:val="30"/>
          <w:lang w:eastAsia="zh-CN"/>
          <w14:textFill>
            <w14:solidFill>
              <w14:schemeClr w14:val="tx1"/>
            </w14:solidFill>
          </w14:textFill>
        </w:rPr>
        <w:t>十一</w:t>
      </w:r>
      <w:r>
        <w:rPr>
          <w:rFonts w:hint="eastAsia" w:ascii="仿宋" w:hAnsi="仿宋" w:eastAsia="仿宋" w:cs="仿宋"/>
          <w:b/>
          <w:bCs/>
          <w:color w:val="000000" w:themeColor="text1"/>
          <w:sz w:val="30"/>
          <w:szCs w:val="30"/>
          <w14:textFill>
            <w14:solidFill>
              <w14:schemeClr w14:val="tx1"/>
            </w14:solidFill>
          </w14:textFill>
        </w:rPr>
        <w:t>条 生效条件</w:t>
      </w:r>
    </w:p>
    <w:p w14:paraId="101080C8">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本合同自双方的法定代表人或其授权代理人在本协议上签字</w:t>
      </w:r>
      <w:r>
        <w:rPr>
          <w:rFonts w:hint="eastAsia" w:ascii="仿宋" w:hAnsi="仿宋" w:eastAsia="仿宋" w:cs="仿宋"/>
          <w:color w:val="000000" w:themeColor="text1"/>
          <w:sz w:val="30"/>
          <w:szCs w:val="30"/>
          <w:lang w:eastAsia="zh-CN"/>
          <w14:textFill>
            <w14:solidFill>
              <w14:schemeClr w14:val="tx1"/>
            </w14:solidFill>
          </w14:textFill>
        </w:rPr>
        <w:t>并</w:t>
      </w:r>
      <w:r>
        <w:rPr>
          <w:rFonts w:hint="eastAsia" w:ascii="仿宋" w:hAnsi="仿宋" w:eastAsia="仿宋" w:cs="仿宋"/>
          <w:color w:val="000000" w:themeColor="text1"/>
          <w:sz w:val="30"/>
          <w:szCs w:val="30"/>
          <w14:textFill>
            <w14:solidFill>
              <w14:schemeClr w14:val="tx1"/>
            </w14:solidFill>
          </w14:textFill>
        </w:rPr>
        <w:t>加盖公章之日起生效。</w:t>
      </w:r>
    </w:p>
    <w:p w14:paraId="59DFE63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第十</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 xml:space="preserve">条 其他 </w:t>
      </w:r>
    </w:p>
    <w:p w14:paraId="7D747179">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本协议一式叁份，具有</w:t>
      </w:r>
      <w:r>
        <w:rPr>
          <w:rFonts w:hint="eastAsia" w:ascii="仿宋" w:hAnsi="仿宋" w:eastAsia="仿宋" w:cs="仿宋"/>
          <w:color w:val="000000" w:themeColor="text1"/>
          <w:sz w:val="30"/>
          <w:szCs w:val="30"/>
          <w:lang w:eastAsia="zh-CN"/>
          <w14:textFill>
            <w14:solidFill>
              <w14:schemeClr w14:val="tx1"/>
            </w14:solidFill>
          </w14:textFill>
        </w:rPr>
        <w:t>同等</w:t>
      </w:r>
      <w:r>
        <w:rPr>
          <w:rFonts w:hint="eastAsia" w:ascii="仿宋" w:hAnsi="仿宋" w:eastAsia="仿宋" w:cs="仿宋"/>
          <w:color w:val="000000" w:themeColor="text1"/>
          <w:sz w:val="30"/>
          <w:szCs w:val="30"/>
          <w14:textFill>
            <w14:solidFill>
              <w14:schemeClr w14:val="tx1"/>
            </w14:solidFill>
          </w14:textFill>
        </w:rPr>
        <w:t>法律效力。甲方执贰份，乙方执壹份。</w:t>
      </w:r>
    </w:p>
    <w:p w14:paraId="0C5F60D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34DD879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甲方（盖章）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乙方（盖章）</w:t>
      </w:r>
    </w:p>
    <w:p w14:paraId="181BCDA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p>
    <w:p w14:paraId="1B70ABF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法定代表人（或代理人）：       法定代表人（或代理人）：</w:t>
      </w:r>
    </w:p>
    <w:p w14:paraId="5B45C4C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03128FD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                    联系电话：</w:t>
      </w:r>
    </w:p>
    <w:p w14:paraId="6CA6EEA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14:paraId="3F13B9C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    签订时间：202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  月    日</w:t>
      </w:r>
    </w:p>
    <w:p w14:paraId="5EB21B93">
      <w:pPr>
        <w:pStyle w:val="2"/>
        <w:rPr>
          <w:rFonts w:hint="eastAsia"/>
          <w:lang w:eastAsia="zh-CN"/>
        </w:rPr>
      </w:pPr>
      <w:bookmarkStart w:id="0" w:name="_GoBack"/>
      <w:bookmarkEnd w:id="0"/>
    </w:p>
    <w:sectPr>
      <w:headerReference r:id="rId3" w:type="default"/>
      <w:footerReference r:id="rId4" w:type="default"/>
      <w:pgSz w:w="11906" w:h="16838"/>
      <w:pgMar w:top="1558" w:right="992" w:bottom="1558" w:left="97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4CAA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E4A81CD">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4E4A81C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B15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8510"/>
    <w:multiLevelType w:val="singleLevel"/>
    <w:tmpl w:val="0E578510"/>
    <w:lvl w:ilvl="0" w:tentative="0">
      <w:start w:val="1"/>
      <w:numFmt w:val="chineseCounting"/>
      <w:suff w:val="nothing"/>
      <w:lvlText w:val="（%1）"/>
      <w:lvlJc w:val="left"/>
      <w:rPr>
        <w:rFonts w:hint="eastAsia"/>
      </w:rPr>
    </w:lvl>
  </w:abstractNum>
  <w:abstractNum w:abstractNumId="1">
    <w:nsid w:val="3113469D"/>
    <w:multiLevelType w:val="singleLevel"/>
    <w:tmpl w:val="3113469D"/>
    <w:lvl w:ilvl="0" w:tentative="0">
      <w:start w:val="4"/>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2I2N2ZmMTBlNDQ1NmZkZWFkZjYwZjYyMjEwZmQifQ=="/>
  </w:docVars>
  <w:rsids>
    <w:rsidRoot w:val="00000000"/>
    <w:rsid w:val="48B2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widowControl/>
      <w:spacing w:beforeAutospacing="1" w:afterAutospacing="1"/>
      <w:jc w:val="left"/>
      <w:outlineLvl w:val="1"/>
    </w:pPr>
    <w:rPr>
      <w:rFonts w:ascii="宋体" w:hAnsi="宋体" w:cs="宋体"/>
      <w:b/>
      <w:bCs/>
      <w:kern w:val="0"/>
      <w:sz w:val="36"/>
      <w:szCs w:val="36"/>
    </w:rPr>
  </w:style>
  <w:style w:type="paragraph" w:styleId="2">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1"/>
      <w:szCs w:val="21"/>
      <w:lang w:val="en-US" w:eastAsia="en-US" w:bidi="ar-SA"/>
    </w:rPr>
  </w:style>
  <w:style w:type="paragraph" w:customStyle="1" w:styleId="10">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2024-08-30T09:18:06Z</dcterms:created>
  <dc:creator>USER</dc:creator>
  <cp:lastModifiedBy>阳明拍卖</cp:lastModifiedBy>
  <dcterms:modified xsi:type="dcterms:W3CDTF">2024-08-30T09:19:27Z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DBB1D77EF23B485BBE454545FED0C084_12</vt:lpwstr>
  </property>
</Properties>
</file>