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1E920B">
      <w:pPr>
        <w:spacing w:line="440" w:lineRule="atLeast"/>
        <w:jc w:val="center"/>
        <w:rPr>
          <w:rFonts w:ascii="宋体" w:hAnsi="宋体"/>
          <w:b/>
          <w:bCs/>
          <w:color w:val="000000" w:themeColor="text1"/>
          <w:spacing w:val="60"/>
          <w:sz w:val="52"/>
          <w:szCs w:val="52"/>
          <w14:textFill>
            <w14:solidFill>
              <w14:schemeClr w14:val="tx1"/>
            </w14:solidFill>
          </w14:textFill>
        </w:rPr>
      </w:pPr>
      <w:bookmarkStart w:id="0" w:name="车棚"/>
      <w:bookmarkEnd w:id="0"/>
      <w:r>
        <w:rPr>
          <w:rFonts w:hint="eastAsia" w:ascii="宋体" w:hAnsi="宋体"/>
          <w:b/>
          <w:bCs/>
          <w:color w:val="000000" w:themeColor="text1"/>
          <w:spacing w:val="60"/>
          <w:sz w:val="52"/>
          <w:szCs w:val="52"/>
          <w14:textFill>
            <w14:solidFill>
              <w14:schemeClr w14:val="tx1"/>
            </w14:solidFill>
          </w14:textFill>
        </w:rPr>
        <w:t>宁波阳明拍卖有限公司</w:t>
      </w:r>
    </w:p>
    <w:p w14:paraId="26287FD0">
      <w:pPr>
        <w:spacing w:line="440" w:lineRule="atLeast"/>
        <w:jc w:val="center"/>
        <w:rPr>
          <w:rFonts w:ascii="宋体" w:hAnsi="宋体"/>
          <w:b/>
          <w:color w:val="000000" w:themeColor="text1"/>
          <w:sz w:val="52"/>
          <w:szCs w:val="52"/>
          <w14:textFill>
            <w14:solidFill>
              <w14:schemeClr w14:val="tx1"/>
            </w14:solidFill>
          </w14:textFill>
        </w:rPr>
      </w:pPr>
    </w:p>
    <w:p w14:paraId="39D24571">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拍</w:t>
      </w:r>
    </w:p>
    <w:p w14:paraId="48E5FE1C">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卖</w:t>
      </w:r>
    </w:p>
    <w:p w14:paraId="2F1DD9EB">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须</w:t>
      </w:r>
    </w:p>
    <w:p w14:paraId="75D053E7">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知</w:t>
      </w:r>
    </w:p>
    <w:p w14:paraId="0105E307">
      <w:pPr>
        <w:spacing w:line="440" w:lineRule="atLeast"/>
        <w:jc w:val="center"/>
        <w:rPr>
          <w:rFonts w:ascii="宋体" w:hAnsi="宋体"/>
          <w:b/>
          <w:bCs/>
          <w:color w:val="000000" w:themeColor="text1"/>
          <w:sz w:val="52"/>
          <w:szCs w:val="52"/>
          <w14:textFill>
            <w14:solidFill>
              <w14:schemeClr w14:val="tx1"/>
            </w14:solidFill>
          </w14:textFill>
        </w:rPr>
      </w:pPr>
    </w:p>
    <w:p w14:paraId="1AD13D3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textAlignment w:val="auto"/>
        <w:rPr>
          <w:rFonts w:ascii="宋体" w:hAnsi="宋体" w:cs="宋体"/>
          <w:color w:val="000000" w:themeColor="text1"/>
          <w:kern w:val="0"/>
          <w:szCs w:val="21"/>
          <w14:textFill>
            <w14:solidFill>
              <w14:schemeClr w14:val="tx1"/>
            </w14:solidFill>
          </w14:textFill>
        </w:rPr>
      </w:pPr>
      <w:r>
        <w:rPr>
          <w:rFonts w:hint="eastAsia"/>
          <w:b/>
          <w:bCs/>
          <w:color w:val="000000" w:themeColor="text1"/>
          <w:sz w:val="24"/>
          <w14:textFill>
            <w14:solidFill>
              <w14:schemeClr w14:val="tx1"/>
            </w14:solidFill>
          </w14:textFill>
        </w:rPr>
        <w:t>拍卖会名称</w:t>
      </w:r>
      <w:r>
        <w:rPr>
          <w:rFonts w:hint="eastAsia" w:ascii="宋体" w:hAnsi="宋体" w:cs="楷体_GB2312"/>
          <w:color w:val="000000" w:themeColor="text1"/>
          <w:sz w:val="24"/>
          <w14:textFill>
            <w14:solidFill>
              <w14:schemeClr w14:val="tx1"/>
            </w14:solidFill>
          </w14:textFill>
        </w:rPr>
        <w:t>：</w:t>
      </w:r>
      <w:r>
        <w:rPr>
          <w:rFonts w:hint="eastAsia" w:ascii="宋体" w:hAnsi="宋体" w:eastAsia="宋体" w:cs="宋体"/>
          <w:bCs/>
          <w:kern w:val="0"/>
          <w:sz w:val="24"/>
          <w:szCs w:val="24"/>
        </w:rPr>
        <w:t>余</w:t>
      </w:r>
      <w:r>
        <w:rPr>
          <w:rFonts w:hint="eastAsia" w:ascii="宋体" w:hAnsi="宋体" w:eastAsia="宋体" w:cs="宋体"/>
          <w:kern w:val="0"/>
          <w:sz w:val="24"/>
        </w:rPr>
        <w:t>姚市</w:t>
      </w:r>
      <w:r>
        <w:rPr>
          <w:rFonts w:hint="eastAsia" w:ascii="宋体" w:hAnsi="宋体" w:eastAsia="宋体" w:cs="宋体"/>
          <w:kern w:val="0"/>
          <w:sz w:val="24"/>
          <w:lang w:val="en-US" w:eastAsia="zh-CN"/>
        </w:rPr>
        <w:t>朗霞街道西墟村张伯堰44号厂房</w:t>
      </w:r>
      <w:r>
        <w:rPr>
          <w:rFonts w:hint="eastAsia" w:ascii="宋体" w:hAnsi="宋体" w:cs="宋体"/>
          <w:color w:val="000000" w:themeColor="text1"/>
          <w:kern w:val="0"/>
          <w:sz w:val="24"/>
          <w14:textFill>
            <w14:solidFill>
              <w14:schemeClr w14:val="tx1"/>
            </w14:solidFill>
          </w14:textFill>
        </w:rPr>
        <w:t>拍卖会</w:t>
      </w:r>
    </w:p>
    <w:p w14:paraId="722E1F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textAlignment w:val="auto"/>
        <w:rPr>
          <w:rFonts w:hint="eastAsia" w:ascii="宋体" w:hAnsi="宋体" w:cs="Times New Roman"/>
          <w:color w:val="000000" w:themeColor="text1"/>
          <w:kern w:val="0"/>
          <w:sz w:val="24"/>
          <w:szCs w:val="24"/>
          <w:lang w:val="en-US" w:eastAsia="zh-CN" w:bidi="ar-SA"/>
          <w14:textFill>
            <w14:solidFill>
              <w14:schemeClr w14:val="tx1"/>
            </w14:solidFill>
          </w14:textFill>
        </w:rPr>
      </w:pPr>
      <w:r>
        <w:rPr>
          <w:rFonts w:hint="eastAsia" w:ascii="宋体" w:hAnsi="宋体"/>
          <w:b/>
          <w:color w:val="000000" w:themeColor="text1"/>
          <w:sz w:val="24"/>
          <w14:textFill>
            <w14:solidFill>
              <w14:schemeClr w14:val="tx1"/>
            </w14:solidFill>
          </w14:textFill>
        </w:rPr>
        <w:t>拍卖标的：</w:t>
      </w:r>
      <w:r>
        <w:rPr>
          <w:rFonts w:hint="eastAsia" w:ascii="宋体" w:hAnsi="宋体" w:eastAsia="宋体" w:cs="宋体"/>
          <w:bCs/>
          <w:kern w:val="0"/>
          <w:sz w:val="24"/>
          <w:szCs w:val="24"/>
        </w:rPr>
        <w:t>余</w:t>
      </w:r>
      <w:r>
        <w:rPr>
          <w:rFonts w:hint="eastAsia" w:ascii="宋体" w:hAnsi="宋体" w:eastAsia="宋体" w:cs="宋体"/>
          <w:kern w:val="0"/>
          <w:sz w:val="24"/>
        </w:rPr>
        <w:t>姚市</w:t>
      </w:r>
      <w:r>
        <w:rPr>
          <w:rFonts w:hint="eastAsia" w:ascii="宋体" w:hAnsi="宋体" w:eastAsia="宋体" w:cs="宋体"/>
          <w:kern w:val="0"/>
          <w:sz w:val="24"/>
          <w:lang w:val="en-US" w:eastAsia="zh-CN"/>
        </w:rPr>
        <w:t>朗霞街道西墟村张伯堰44号厂房</w:t>
      </w:r>
    </w:p>
    <w:p w14:paraId="6D7C38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textAlignment w:val="auto"/>
        <w:rPr>
          <w:rFonts w:hint="eastAsia" w:ascii="宋体" w:hAnsi="宋体" w:cs="Times New Roman"/>
          <w:color w:val="000000" w:themeColor="text1"/>
          <w:kern w:val="0"/>
          <w:sz w:val="24"/>
          <w:szCs w:val="24"/>
          <w:lang w:val="en-US" w:eastAsia="zh-CN" w:bidi="ar-SA"/>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拍卖时间：</w:t>
      </w:r>
      <w:r>
        <w:rPr>
          <w:rFonts w:hint="eastAsia" w:ascii="宋体" w:hAnsi="宋体" w:cs="Times New Roman"/>
          <w:color w:val="000000" w:themeColor="text1"/>
          <w:kern w:val="0"/>
          <w:sz w:val="24"/>
          <w:szCs w:val="24"/>
          <w:lang w:val="en-US" w:eastAsia="zh-CN" w:bidi="ar-SA"/>
          <w14:textFill>
            <w14:solidFill>
              <w14:schemeClr w14:val="tx1"/>
            </w14:solidFill>
          </w14:textFill>
        </w:rPr>
        <w:t>2024年8月9日上午9时</w:t>
      </w:r>
    </w:p>
    <w:p w14:paraId="24CDEE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textAlignment w:val="auto"/>
        <w:rPr>
          <w:rFonts w:hint="eastAsia" w:ascii="宋体" w:hAnsi="宋体" w:cs="宋体"/>
          <w:color w:val="auto"/>
          <w:kern w:val="0"/>
          <w:sz w:val="24"/>
          <w:lang w:eastAsia="zh-CN"/>
        </w:rPr>
      </w:pPr>
      <w:r>
        <w:rPr>
          <w:rFonts w:hint="eastAsia" w:ascii="宋体" w:hAnsi="宋体" w:eastAsia="宋体" w:cs="宋体"/>
          <w:b/>
          <w:color w:val="auto"/>
          <w:kern w:val="0"/>
          <w:sz w:val="24"/>
          <w:lang w:eastAsia="zh-CN"/>
        </w:rPr>
        <w:t>拍卖会地点：</w:t>
      </w:r>
      <w:r>
        <w:rPr>
          <w:rFonts w:hint="eastAsia" w:ascii="宋体" w:hAnsi="宋体" w:eastAsia="宋体" w:cs="宋体"/>
          <w:kern w:val="0"/>
          <w:sz w:val="24"/>
        </w:rPr>
        <w:t>余姚市</w:t>
      </w:r>
      <w:r>
        <w:rPr>
          <w:rFonts w:hint="eastAsia" w:ascii="宋体" w:hAnsi="宋体" w:eastAsia="宋体" w:cs="宋体"/>
          <w:kern w:val="0"/>
          <w:sz w:val="24"/>
          <w:lang w:eastAsia="zh-CN"/>
        </w:rPr>
        <w:t>政务服务中心</w:t>
      </w:r>
      <w:r>
        <w:rPr>
          <w:rFonts w:hint="eastAsia" w:ascii="宋体" w:hAnsi="宋体" w:eastAsia="宋体" w:cs="宋体"/>
          <w:sz w:val="24"/>
        </w:rPr>
        <w:t>（谭家岭东路2号）</w:t>
      </w:r>
      <w:r>
        <w:rPr>
          <w:rFonts w:hint="eastAsia" w:ascii="宋体" w:hAnsi="宋体" w:eastAsia="宋体" w:cs="宋体"/>
          <w:kern w:val="0"/>
          <w:sz w:val="24"/>
        </w:rPr>
        <w:t>4楼开标室&lt;</w:t>
      </w:r>
      <w:r>
        <w:rPr>
          <w:rFonts w:hint="eastAsia" w:ascii="宋体" w:hAnsi="宋体" w:eastAsia="宋体" w:cs="宋体"/>
          <w:kern w:val="0"/>
          <w:sz w:val="24"/>
          <w:lang w:val="en-US" w:eastAsia="zh-CN"/>
        </w:rPr>
        <w:t>1</w:t>
      </w:r>
      <w:r>
        <w:rPr>
          <w:rFonts w:hint="eastAsia" w:ascii="宋体" w:hAnsi="宋体" w:eastAsia="宋体" w:cs="宋体"/>
          <w:kern w:val="0"/>
          <w:sz w:val="24"/>
        </w:rPr>
        <w:t>&gt;</w:t>
      </w:r>
    </w:p>
    <w:p w14:paraId="121B626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textAlignment w:val="auto"/>
        <w:rPr>
          <w:rFonts w:hint="eastAsia" w:ascii="宋体" w:hAnsi="宋体" w:eastAsia="宋体" w:cs="宋体"/>
          <w:color w:val="auto"/>
          <w:kern w:val="0"/>
          <w:sz w:val="24"/>
          <w:lang w:eastAsia="zh-CN"/>
        </w:rPr>
      </w:pPr>
      <w:r>
        <w:rPr>
          <w:rFonts w:hint="eastAsia" w:ascii="宋体" w:hAnsi="宋体" w:cs="宋体"/>
          <w:b/>
          <w:color w:val="auto"/>
          <w:kern w:val="0"/>
          <w:sz w:val="24"/>
        </w:rPr>
        <w:t>拍卖方式：</w:t>
      </w:r>
      <w:r>
        <w:rPr>
          <w:rFonts w:hint="eastAsia" w:ascii="宋体" w:hAnsi="宋体" w:cs="宋体"/>
          <w:b w:val="0"/>
          <w:bCs/>
          <w:color w:val="auto"/>
          <w:kern w:val="0"/>
          <w:sz w:val="24"/>
          <w:u w:val="none"/>
          <w:lang w:eastAsia="zh-CN"/>
        </w:rPr>
        <w:t>现场拍卖</w:t>
      </w:r>
    </w:p>
    <w:p w14:paraId="3EE4AC01">
      <w:pPr>
        <w:spacing w:after="93" w:afterLines="30" w:line="500" w:lineRule="exact"/>
        <w:rPr>
          <w:rFonts w:ascii="宋体" w:hAnsi="宋体" w:cs="宋体"/>
          <w:b/>
          <w:color w:val="000000" w:themeColor="text1"/>
          <w:kern w:val="0"/>
          <w:sz w:val="24"/>
          <w14:textFill>
            <w14:solidFill>
              <w14:schemeClr w14:val="tx1"/>
            </w14:solidFill>
          </w14:textFill>
        </w:rPr>
      </w:pPr>
    </w:p>
    <w:p w14:paraId="3A47D7E4">
      <w:pPr>
        <w:spacing w:after="93" w:afterLines="30" w:line="500" w:lineRule="exact"/>
        <w:ind w:firstLine="283" w:firstLineChars="118"/>
        <w:rPr>
          <w:rFonts w:ascii="宋体" w:hAnsi="宋体"/>
          <w:color w:val="000000" w:themeColor="text1"/>
          <w:sz w:val="24"/>
          <w14:textFill>
            <w14:solidFill>
              <w14:schemeClr w14:val="tx1"/>
            </w14:solidFill>
          </w14:textFill>
        </w:rPr>
      </w:pPr>
    </w:p>
    <w:p w14:paraId="5AAF7B3D">
      <w:pPr>
        <w:spacing w:after="93" w:afterLines="30" w:line="500" w:lineRule="exact"/>
        <w:ind w:firstLine="283" w:firstLineChars="118"/>
        <w:rPr>
          <w:rFonts w:ascii="宋体" w:hAnsi="宋体"/>
          <w:color w:val="000000" w:themeColor="text1"/>
          <w:sz w:val="24"/>
          <w14:textFill>
            <w14:solidFill>
              <w14:schemeClr w14:val="tx1"/>
            </w14:solidFill>
          </w14:textFill>
        </w:rPr>
      </w:pPr>
    </w:p>
    <w:p w14:paraId="7C9D913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公司地址：浙江省余姚市舜水北路16号</w:t>
      </w:r>
    </w:p>
    <w:p w14:paraId="37BC1F9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80" w:firstLineChars="200"/>
        <w:textAlignment w:val="auto"/>
        <w:rPr>
          <w:rFonts w:hint="eastAsia" w:ascii="宋体" w:hAnsi="宋体"/>
          <w:b/>
          <w:color w:val="000000" w:themeColor="text1"/>
          <w:sz w:val="44"/>
          <w:szCs w:val="44"/>
          <w14:textFill>
            <w14:solidFill>
              <w14:schemeClr w14:val="tx1"/>
            </w14:solidFill>
          </w14:textFill>
        </w:rPr>
      </w:pPr>
      <w:r>
        <w:rPr>
          <w:rFonts w:hint="eastAsia" w:ascii="宋体" w:hAnsi="宋体"/>
          <w:color w:val="000000" w:themeColor="text1"/>
          <w:sz w:val="24"/>
          <w14:textFill>
            <w14:solidFill>
              <w14:schemeClr w14:val="tx1"/>
            </w14:solidFill>
          </w14:textFill>
        </w:rPr>
        <w:t>公司电话：0574-</w:t>
      </w:r>
      <w:r>
        <w:rPr>
          <w:rFonts w:hint="eastAsia" w:ascii="宋体" w:hAnsi="宋体"/>
          <w:color w:val="000000" w:themeColor="text1"/>
          <w:sz w:val="24"/>
          <w:lang w:eastAsia="zh-CN"/>
          <w14:textFill>
            <w14:solidFill>
              <w14:schemeClr w14:val="tx1"/>
            </w14:solidFill>
          </w14:textFill>
        </w:rPr>
        <w:t>6265</w:t>
      </w:r>
      <w:r>
        <w:rPr>
          <w:rFonts w:hint="eastAsia" w:ascii="宋体" w:hAnsi="宋体"/>
          <w:color w:val="000000" w:themeColor="text1"/>
          <w:sz w:val="24"/>
          <w:lang w:val="en-US" w:eastAsia="zh-CN"/>
          <w14:textFill>
            <w14:solidFill>
              <w14:schemeClr w14:val="tx1"/>
            </w14:solidFill>
          </w14:textFill>
        </w:rPr>
        <w:t>0662</w:t>
      </w: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2724638</w:t>
      </w:r>
      <w:r>
        <w:rPr>
          <w:rFonts w:hint="eastAsia" w:ascii="宋体" w:hAnsi="宋体"/>
          <w:color w:val="000000" w:themeColor="text1"/>
          <w:sz w:val="24"/>
          <w14:textFill>
            <w14:solidFill>
              <w14:schemeClr w14:val="tx1"/>
            </w14:solidFill>
          </w14:textFill>
        </w:rPr>
        <w:t xml:space="preserve">       传真：0574-62651961</w:t>
      </w:r>
    </w:p>
    <w:p w14:paraId="705CA4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拍  卖  须  知</w:t>
      </w:r>
    </w:p>
    <w:p w14:paraId="6221D01B">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总 则</w:t>
      </w:r>
    </w:p>
    <w:p w14:paraId="59D53624">
      <w:pPr>
        <w:keepNext w:val="0"/>
        <w:keepLines w:val="0"/>
        <w:pageBreakBefore w:val="0"/>
        <w:widowControl w:val="0"/>
        <w:kinsoku/>
        <w:wordWrap/>
        <w:overflowPunct/>
        <w:topLinePunct w:val="0"/>
        <w:autoSpaceDE/>
        <w:autoSpaceDN/>
        <w:bidi w:val="0"/>
        <w:adjustRightInd/>
        <w:snapToGrid/>
        <w:spacing w:line="420" w:lineRule="exact"/>
        <w:ind w:firstLine="470" w:firstLineChars="195"/>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w:t>
      </w:r>
      <w:r>
        <w:rPr>
          <w:rFonts w:hint="eastAsia" w:ascii="宋体" w:hAnsi="宋体"/>
          <w:color w:val="000000" w:themeColor="text1"/>
          <w:sz w:val="24"/>
          <w14:textFill>
            <w14:solidFill>
              <w14:schemeClr w14:val="tx1"/>
            </w14:solidFill>
          </w14:textFill>
        </w:rPr>
        <w:t xml:space="preserve">  本《拍卖须知》根据《中华人民共和国拍卖法》及相关法律、法规、规章，参照国际通行惯例制定。</w:t>
      </w:r>
    </w:p>
    <w:p w14:paraId="16923F2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w:t>
      </w:r>
      <w:r>
        <w:rPr>
          <w:rFonts w:hint="eastAsia" w:ascii="宋体" w:hAnsi="宋体"/>
          <w:color w:val="000000" w:themeColor="text1"/>
          <w:sz w:val="24"/>
          <w14:textFill>
            <w14:solidFill>
              <w14:schemeClr w14:val="tx1"/>
            </w14:solidFill>
          </w14:textFill>
        </w:rPr>
        <w:t xml:space="preserve">  宁波阳明拍卖有限公司（以下简称“拍卖人”）将依法组织和开展拍卖活动，参加拍卖活动的竞买人必须仔细阅读并遵守本《拍卖须知》及其它相关文件，并对自己执行本《拍卖须知》的行为负责。</w:t>
      </w:r>
    </w:p>
    <w:p w14:paraId="60E1208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第三条  </w:t>
      </w:r>
      <w:r>
        <w:rPr>
          <w:rFonts w:hint="eastAsia" w:ascii="宋体" w:hAnsi="宋体"/>
          <w:color w:val="000000" w:themeColor="text1"/>
          <w:sz w:val="24"/>
          <w14:textFill>
            <w14:solidFill>
              <w14:schemeClr w14:val="tx1"/>
            </w14:solidFill>
          </w14:textFill>
        </w:rPr>
        <w:t>拍卖人有权在本《拍卖须知》的基础上，根据公开、公平、公正、诚实信用的原则解释和处理本《拍卖须知》以外的特殊问题和未尽事宜。</w:t>
      </w:r>
    </w:p>
    <w:p w14:paraId="2E38E725">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拍卖标的</w:t>
      </w:r>
    </w:p>
    <w:p w14:paraId="68A19A1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 第四条  </w:t>
      </w:r>
      <w:r>
        <w:rPr>
          <w:rFonts w:hint="eastAsia" w:ascii="宋体" w:hAnsi="宋体"/>
          <w:b/>
          <w:color w:val="000000" w:themeColor="text1"/>
          <w:sz w:val="24"/>
          <w14:textFill>
            <w14:solidFill>
              <w14:schemeClr w14:val="tx1"/>
            </w14:solidFill>
          </w14:textFill>
        </w:rPr>
        <w:t>拍卖标的</w:t>
      </w:r>
      <w:r>
        <w:rPr>
          <w:rFonts w:hint="eastAsia" w:ascii="宋体" w:hAnsi="宋体"/>
          <w:b/>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余姚市</w:t>
      </w:r>
      <w:r>
        <w:rPr>
          <w:rFonts w:hint="eastAsia" w:ascii="宋体" w:hAnsi="宋体"/>
          <w:color w:val="000000" w:themeColor="text1"/>
          <w:sz w:val="24"/>
          <w:lang w:val="en-US" w:eastAsia="zh-CN"/>
          <w14:textFill>
            <w14:solidFill>
              <w14:schemeClr w14:val="tx1"/>
            </w14:solidFill>
          </w14:textFill>
        </w:rPr>
        <w:t>朗霞街道西墟村张伯堰44号厂房</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权证编号：浙（2023）余姚市不动产权第0029324号；房屋</w:t>
      </w:r>
      <w:r>
        <w:rPr>
          <w:rFonts w:hint="eastAsia" w:ascii="宋体" w:hAnsi="宋体"/>
          <w:color w:val="000000" w:themeColor="text1"/>
          <w:sz w:val="24"/>
          <w:lang w:eastAsia="zh-CN"/>
          <w14:textFill>
            <w14:solidFill>
              <w14:schemeClr w14:val="tx1"/>
            </w14:solidFill>
          </w14:textFill>
        </w:rPr>
        <w:t>建筑</w:t>
      </w:r>
      <w:r>
        <w:rPr>
          <w:rFonts w:hint="eastAsia" w:ascii="宋体" w:hAnsi="宋体"/>
          <w:color w:val="000000" w:themeColor="text1"/>
          <w:sz w:val="24"/>
          <w14:textFill>
            <w14:solidFill>
              <w14:schemeClr w14:val="tx1"/>
            </w14:solidFill>
          </w14:textFill>
        </w:rPr>
        <w:t>面积：</w:t>
      </w:r>
      <w:r>
        <w:rPr>
          <w:rFonts w:hint="eastAsia" w:ascii="宋体" w:hAnsi="宋体"/>
          <w:color w:val="000000" w:themeColor="text1"/>
          <w:sz w:val="24"/>
          <w:lang w:val="en-US" w:eastAsia="zh-CN"/>
          <w14:textFill>
            <w14:solidFill>
              <w14:schemeClr w14:val="tx1"/>
            </w14:solidFill>
          </w14:textFill>
        </w:rPr>
        <w:t>1136.59平方米；土地使用权面积：4144.6平方米</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用途：</w:t>
      </w:r>
      <w:r>
        <w:rPr>
          <w:rFonts w:hint="eastAsia" w:ascii="宋体" w:hAnsi="宋体"/>
          <w:color w:val="000000" w:themeColor="text1"/>
          <w:sz w:val="24"/>
          <w:lang w:val="en-US" w:eastAsia="zh-CN"/>
          <w14:textFill>
            <w14:solidFill>
              <w14:schemeClr w14:val="tx1"/>
            </w14:solidFill>
          </w14:textFill>
        </w:rPr>
        <w:t>工业用地/工业；</w:t>
      </w:r>
      <w:r>
        <w:rPr>
          <w:rFonts w:hint="eastAsia" w:ascii="宋体" w:hAnsi="宋体"/>
          <w:color w:val="000000" w:themeColor="text1"/>
          <w:sz w:val="24"/>
          <w:lang w:eastAsia="zh-CN"/>
          <w14:textFill>
            <w14:solidFill>
              <w14:schemeClr w14:val="tx1"/>
            </w14:solidFill>
          </w14:textFill>
        </w:rPr>
        <w:t>土地使用</w:t>
      </w:r>
      <w:r>
        <w:rPr>
          <w:rFonts w:hint="eastAsia" w:ascii="宋体" w:hAnsi="宋体"/>
          <w:color w:val="000000" w:themeColor="text1"/>
          <w:sz w:val="24"/>
          <w:lang w:val="en-US" w:eastAsia="zh-CN"/>
          <w14:textFill>
            <w14:solidFill>
              <w14:schemeClr w14:val="tx1"/>
            </w14:solidFill>
          </w14:textFill>
        </w:rPr>
        <w:t>期</w:t>
      </w:r>
      <w:r>
        <w:rPr>
          <w:rFonts w:hint="eastAsia" w:ascii="宋体" w:hAnsi="宋体"/>
          <w:color w:val="000000" w:themeColor="text1"/>
          <w:sz w:val="24"/>
          <w:lang w:eastAsia="zh-CN"/>
          <w14:textFill>
            <w14:solidFill>
              <w14:schemeClr w14:val="tx1"/>
            </w14:solidFill>
          </w14:textFill>
        </w:rPr>
        <w:t>限：</w:t>
      </w:r>
      <w:r>
        <w:rPr>
          <w:rFonts w:hint="eastAsia" w:ascii="宋体" w:hAnsi="宋体"/>
          <w:color w:val="000000" w:themeColor="text1"/>
          <w:sz w:val="24"/>
          <w:lang w:val="en-US" w:eastAsia="zh-CN"/>
          <w14:textFill>
            <w14:solidFill>
              <w14:schemeClr w14:val="tx1"/>
            </w14:solidFill>
          </w14:textFill>
        </w:rPr>
        <w:t>2046年12月2日</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权利性质：出让；</w:t>
      </w:r>
      <w:r>
        <w:rPr>
          <w:rFonts w:hint="eastAsia" w:ascii="宋体" w:hAnsi="宋体"/>
          <w:color w:val="000000" w:themeColor="text1"/>
          <w:sz w:val="24"/>
          <w14:textFill>
            <w14:solidFill>
              <w14:schemeClr w14:val="tx1"/>
            </w14:solidFill>
          </w14:textFill>
        </w:rPr>
        <w:t>现状：</w:t>
      </w:r>
      <w:r>
        <w:rPr>
          <w:rFonts w:hint="eastAsia" w:ascii="宋体" w:hAnsi="宋体"/>
          <w:color w:val="000000" w:themeColor="text1"/>
          <w:sz w:val="24"/>
          <w:lang w:val="en-US" w:eastAsia="zh-CN"/>
          <w14:textFill>
            <w14:solidFill>
              <w14:schemeClr w14:val="tx1"/>
            </w14:solidFill>
          </w14:textFill>
        </w:rPr>
        <w:t>承租中；</w:t>
      </w:r>
      <w:r>
        <w:rPr>
          <w:rFonts w:hint="eastAsia" w:ascii="宋体" w:hAnsi="宋体"/>
          <w:color w:val="000000" w:themeColor="text1"/>
          <w:sz w:val="24"/>
          <w14:textFill>
            <w14:solidFill>
              <w14:schemeClr w14:val="tx1"/>
            </w14:solidFill>
          </w14:textFill>
        </w:rPr>
        <w:t>起拍价：人民币</w:t>
      </w:r>
      <w:r>
        <w:rPr>
          <w:rFonts w:hint="eastAsia" w:ascii="宋体" w:hAnsi="宋体"/>
          <w:color w:val="000000" w:themeColor="text1"/>
          <w:sz w:val="24"/>
          <w:lang w:val="en-US" w:eastAsia="zh-CN"/>
          <w14:textFill>
            <w14:solidFill>
              <w14:schemeClr w14:val="tx1"/>
            </w14:solidFill>
          </w14:textFill>
        </w:rPr>
        <w:t>508万</w:t>
      </w:r>
      <w:r>
        <w:rPr>
          <w:rFonts w:hint="eastAsia" w:ascii="宋体" w:hAnsi="宋体"/>
          <w:color w:val="000000" w:themeColor="text1"/>
          <w:sz w:val="24"/>
          <w14:textFill>
            <w14:solidFill>
              <w14:schemeClr w14:val="tx1"/>
            </w14:solidFill>
          </w14:textFill>
        </w:rPr>
        <w:t>元；竞买保证金：人民币</w:t>
      </w:r>
      <w:r>
        <w:rPr>
          <w:rFonts w:hint="eastAsia" w:ascii="宋体" w:hAnsi="宋体"/>
          <w:color w:val="000000" w:themeColor="text1"/>
          <w:sz w:val="24"/>
          <w:lang w:val="en-US" w:eastAsia="zh-CN"/>
          <w14:textFill>
            <w14:solidFill>
              <w14:schemeClr w14:val="tx1"/>
            </w14:solidFill>
          </w14:textFill>
        </w:rPr>
        <w:t>100万</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eastAsia="zh-CN"/>
          <w14:textFill>
            <w14:solidFill>
              <w14:schemeClr w14:val="tx1"/>
            </w14:solidFill>
          </w14:textFill>
        </w:rPr>
        <w:t>。</w:t>
      </w:r>
    </w:p>
    <w:p w14:paraId="3E770E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hint="eastAsia" w:ascii="宋体" w:hAnsi="宋体"/>
          <w:color w:val="000000" w:themeColor="text1"/>
          <w:sz w:val="24"/>
          <w:lang w:val="en-US" w:eastAsia="zh-CN"/>
          <w14:textFill>
            <w14:solidFill>
              <w14:schemeClr w14:val="tx1"/>
            </w14:solidFill>
          </w14:textFill>
        </w:rPr>
        <w:t>:1、原租赁合同到期日：2025年5月31日，合同到期前所有租金收益归委托人所有。</w:t>
      </w:r>
      <w:r>
        <w:rPr>
          <w:rFonts w:hint="eastAsia" w:ascii="宋体" w:hAnsi="宋体"/>
          <w:color w:val="000000" w:themeColor="text1"/>
          <w:sz w:val="24"/>
          <w:lang w:eastAsia="zh-CN"/>
          <w14:textFill>
            <w14:solidFill>
              <w14:schemeClr w14:val="tx1"/>
            </w14:solidFill>
          </w14:textFill>
        </w:rPr>
        <w:t>若竞买人急需使用标的的，务必谨慎竞买，</w:t>
      </w:r>
      <w:r>
        <w:rPr>
          <w:rFonts w:hint="eastAsia" w:ascii="宋体" w:hAnsi="宋体"/>
          <w:color w:val="000000" w:themeColor="text1"/>
          <w:sz w:val="24"/>
          <w:lang w:val="en-US" w:eastAsia="zh-CN"/>
          <w14:textFill>
            <w14:solidFill>
              <w14:schemeClr w14:val="tx1"/>
            </w14:solidFill>
          </w14:textFill>
        </w:rPr>
        <w:t>委托</w:t>
      </w:r>
      <w:r>
        <w:rPr>
          <w:rFonts w:hint="eastAsia" w:ascii="宋体" w:hAnsi="宋体"/>
          <w:color w:val="000000" w:themeColor="text1"/>
          <w:sz w:val="24"/>
          <w:lang w:eastAsia="zh-CN"/>
          <w14:textFill>
            <w14:solidFill>
              <w14:schemeClr w14:val="tx1"/>
            </w14:solidFill>
          </w14:textFill>
        </w:rPr>
        <w:t>双方声明不作任何保证</w:t>
      </w:r>
      <w:r>
        <w:rPr>
          <w:rFonts w:hint="eastAsia" w:ascii="宋体" w:hAnsi="宋体"/>
          <w:color w:val="000000" w:themeColor="text1"/>
          <w:sz w:val="24"/>
          <w:lang w:val="en-US" w:eastAsia="zh-CN"/>
          <w14:textFill>
            <w14:solidFill>
              <w14:schemeClr w14:val="tx1"/>
            </w14:solidFill>
          </w14:textFill>
        </w:rPr>
        <w:t>。</w:t>
      </w:r>
    </w:p>
    <w:p w14:paraId="795379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根据经营需要，标的内可移动设施设备由</w:t>
      </w:r>
      <w:r>
        <w:rPr>
          <w:rFonts w:hint="eastAsia" w:ascii="宋体" w:hAnsi="宋体"/>
          <w:color w:val="000000" w:themeColor="text1"/>
          <w:sz w:val="24"/>
          <w:lang w:val="en-US" w:eastAsia="zh-CN"/>
          <w14:textFill>
            <w14:solidFill>
              <w14:schemeClr w14:val="tx1"/>
            </w14:solidFill>
          </w14:textFill>
        </w:rPr>
        <w:t>原</w:t>
      </w:r>
      <w:r>
        <w:rPr>
          <w:rFonts w:hint="eastAsia" w:ascii="宋体" w:hAnsi="宋体"/>
          <w:color w:val="000000" w:themeColor="text1"/>
          <w:sz w:val="24"/>
          <w:lang w:eastAsia="zh-CN"/>
          <w14:textFill>
            <w14:solidFill>
              <w14:schemeClr w14:val="tx1"/>
            </w14:solidFill>
          </w14:textFill>
        </w:rPr>
        <w:t>承租人投入，归原承租人所有，不属于本次拍卖范围</w:t>
      </w:r>
      <w:r>
        <w:rPr>
          <w:rFonts w:hint="eastAsia" w:ascii="宋体" w:hAnsi="宋体"/>
          <w:color w:val="000000" w:themeColor="text1"/>
          <w:sz w:val="24"/>
          <w:lang w:val="en-US" w:eastAsia="zh-CN"/>
          <w14:textFill>
            <w14:solidFill>
              <w14:schemeClr w14:val="tx1"/>
            </w14:solidFill>
          </w14:textFill>
        </w:rPr>
        <w:t>；另标的配套变压器（10KV后陶T864线)，亦不属于本次拍卖范围。</w:t>
      </w:r>
    </w:p>
    <w:p w14:paraId="4351A03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原承租人主张优先购买权的，应按规定办理报名登记手续，并在同等价格下享有优先购买权。</w:t>
      </w:r>
    </w:p>
    <w:p w14:paraId="6963DF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拍卖标的为二手工业房地产。标的以实物现状为准，委托双方不承担拍卖标的的瑕疵担保责任。竞买人在拍卖前需自行现场踏勘、测算和核实拍卖标的，自行评估并承担相应的风险。一旦报名参与竞买，即视为对标的一切现状及价格的认可，愿意承担法律责任，并且不得以任何理由提出退还标的或拒付拍卖成交款及其他费用。</w:t>
      </w:r>
    </w:p>
    <w:p w14:paraId="7BFF26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4、买受人若要对标的进行任何的重建、改造、扩建的，买受人将独立承担全部责任，包括但不限于获取所有必要的政府批准、许可和证书，确保符合当地相关部门的规划要求、安全标准以及环保要求。</w:t>
      </w:r>
    </w:p>
    <w:p w14:paraId="069304FE">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default" w:ascii="宋体" w:hAnsi="宋体"/>
          <w:color w:val="000000" w:themeColor="text1"/>
          <w:sz w:val="24"/>
          <w:highlight w:val="green"/>
          <w:lang w:val="en-US" w:eastAsia="zh-CN"/>
          <w14:textFill>
            <w14:solidFill>
              <w14:schemeClr w14:val="tx1"/>
            </w14:solidFill>
          </w14:textFill>
        </w:rPr>
      </w:pPr>
      <w:r>
        <w:rPr>
          <w:rFonts w:hint="eastAsia" w:eastAsia="宋体" w:cs="Arial"/>
          <w:color w:val="000000"/>
          <w:sz w:val="24"/>
          <w:szCs w:val="24"/>
          <w:lang w:val="en-US" w:eastAsia="zh-CN"/>
        </w:rPr>
        <w:t>5、买受人在该地块上不得从事电镀、喷漆、化工行业等环境污染、严重噪音的经营活动。拍卖成交后，买受人需自行到相关管理部门办理符合相关政策的产业准入证明。</w:t>
      </w:r>
    </w:p>
    <w:p w14:paraId="0C60566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200"/>
        <w:jc w:val="left"/>
        <w:textAlignment w:val="auto"/>
        <w:rPr>
          <w:rFonts w:hint="eastAsia" w:ascii="宋体" w:hAnsi="宋体"/>
          <w:b/>
          <w:sz w:val="24"/>
        </w:rPr>
      </w:pPr>
      <w:r>
        <w:rPr>
          <w:rFonts w:hint="eastAsia" w:ascii="宋体" w:hAnsi="宋体"/>
          <w:b/>
          <w:color w:val="000000" w:themeColor="text1"/>
          <w:sz w:val="24"/>
          <w:lang w:val="en-US" w:eastAsia="zh-CN"/>
          <w14:textFill>
            <w14:solidFill>
              <w14:schemeClr w14:val="tx1"/>
            </w14:solidFill>
          </w14:textFill>
        </w:rPr>
        <w:t>第五条</w:t>
      </w:r>
      <w:r>
        <w:rPr>
          <w:rFonts w:hint="eastAsia"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lang w:eastAsia="zh-CN"/>
          <w14:textFill>
            <w14:solidFill>
              <w14:schemeClr w14:val="tx1"/>
            </w14:solidFill>
          </w14:textFill>
        </w:rPr>
        <w:t>标的</w:t>
      </w:r>
      <w:r>
        <w:rPr>
          <w:rFonts w:hint="eastAsia" w:ascii="宋体" w:hAnsi="宋体"/>
          <w:b/>
          <w:color w:val="000000" w:themeColor="text1"/>
          <w:sz w:val="24"/>
          <w14:textFill>
            <w14:solidFill>
              <w14:schemeClr w14:val="tx1"/>
            </w14:solidFill>
          </w14:textFill>
        </w:rPr>
        <w:t>特别说明</w:t>
      </w:r>
      <w:bookmarkStart w:id="1" w:name="_Hlk121003549"/>
      <w:r>
        <w:rPr>
          <w:rFonts w:hint="eastAsia" w:ascii="宋体" w:hAnsi="宋体"/>
          <w:b/>
          <w:sz w:val="24"/>
        </w:rPr>
        <w:t>（具体以委托人与买受人签订的合同为准）</w:t>
      </w:r>
      <w:bookmarkEnd w:id="1"/>
    </w:p>
    <w:p w14:paraId="0B813889">
      <w:pPr>
        <w:keepNext w:val="0"/>
        <w:keepLines w:val="0"/>
        <w:pageBreakBefore w:val="0"/>
        <w:kinsoku/>
        <w:wordWrap/>
        <w:overflowPunct/>
        <w:topLinePunct w:val="0"/>
        <w:autoSpaceDE/>
        <w:autoSpaceDN/>
        <w:bidi w:val="0"/>
        <w:adjustRightInd/>
        <w:snapToGrid w:val="0"/>
        <w:spacing w:line="420" w:lineRule="exact"/>
        <w:ind w:firstLine="482" w:firstLineChars="200"/>
        <w:jc w:val="left"/>
        <w:textAlignment w:val="auto"/>
        <w:rPr>
          <w:rFonts w:hint="eastAsia" w:ascii="宋体" w:hAnsi="宋体"/>
          <w:b/>
          <w:sz w:val="24"/>
        </w:rPr>
      </w:pPr>
      <w:r>
        <w:rPr>
          <w:rFonts w:hint="eastAsia" w:ascii="宋体" w:hAnsi="宋体"/>
          <w:b/>
          <w:sz w:val="24"/>
        </w:rPr>
        <w:t>竞买人须自愿接受下列条款以及《房屋买卖合同（样本）》条款方可参加拍卖：</w:t>
      </w:r>
    </w:p>
    <w:p w14:paraId="75E92A69">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拍卖标的的权证登记手续由买受人为主办理，</w:t>
      </w:r>
      <w:r>
        <w:rPr>
          <w:rFonts w:hint="eastAsia" w:ascii="宋体" w:hAnsi="宋体" w:eastAsia="宋体" w:cs="宋体"/>
          <w:sz w:val="24"/>
          <w:szCs w:val="24"/>
          <w:lang w:val="en-US" w:eastAsia="zh-CN"/>
        </w:rPr>
        <w:t>委托</w:t>
      </w:r>
      <w:r>
        <w:rPr>
          <w:rFonts w:hint="eastAsia" w:ascii="宋体" w:hAnsi="宋体" w:cs="宋体"/>
          <w:sz w:val="24"/>
          <w:szCs w:val="24"/>
          <w:lang w:val="en-US" w:eastAsia="zh-CN"/>
        </w:rPr>
        <w:t>人</w:t>
      </w:r>
      <w:r>
        <w:rPr>
          <w:rFonts w:hint="eastAsia" w:ascii="宋体" w:hAnsi="宋体" w:eastAsia="宋体" w:cs="宋体"/>
          <w:sz w:val="24"/>
          <w:szCs w:val="24"/>
        </w:rPr>
        <w:t>予以协助，在办理权属登记时所涉及的税、费由买卖双方按税务部门规定各自承担。延期不办理过户手续（除</w:t>
      </w:r>
      <w:r>
        <w:rPr>
          <w:rFonts w:hint="eastAsia" w:ascii="宋体" w:hAnsi="宋体" w:eastAsia="宋体" w:cs="宋体"/>
          <w:sz w:val="24"/>
          <w:szCs w:val="24"/>
          <w:lang w:val="en-US" w:eastAsia="zh-CN"/>
        </w:rPr>
        <w:t>委托</w:t>
      </w:r>
      <w:r>
        <w:rPr>
          <w:rFonts w:hint="eastAsia" w:ascii="宋体" w:hAnsi="宋体" w:cs="宋体"/>
          <w:sz w:val="24"/>
          <w:szCs w:val="24"/>
          <w:lang w:val="en-US" w:eastAsia="zh-CN"/>
        </w:rPr>
        <w:t>人</w:t>
      </w:r>
      <w:r>
        <w:rPr>
          <w:rFonts w:hint="eastAsia" w:ascii="宋体" w:hAnsi="宋体" w:eastAsia="宋体" w:cs="宋体"/>
          <w:sz w:val="24"/>
          <w:szCs w:val="24"/>
        </w:rPr>
        <w:t>原因外）所造成的一切后果均由买受人自负，与</w:t>
      </w:r>
      <w:r>
        <w:rPr>
          <w:rFonts w:hint="eastAsia" w:ascii="宋体" w:hAnsi="宋体" w:cs="宋体"/>
          <w:sz w:val="24"/>
          <w:szCs w:val="24"/>
          <w:lang w:val="en-US" w:eastAsia="zh-CN"/>
        </w:rPr>
        <w:t>委托</w:t>
      </w:r>
      <w:r>
        <w:rPr>
          <w:rFonts w:hint="eastAsia" w:ascii="宋体" w:hAnsi="宋体" w:eastAsia="宋体" w:cs="宋体"/>
          <w:sz w:val="24"/>
          <w:szCs w:val="24"/>
          <w:lang w:eastAsia="zh-CN"/>
        </w:rPr>
        <w:t>双方</w:t>
      </w:r>
      <w:r>
        <w:rPr>
          <w:rFonts w:hint="eastAsia" w:ascii="宋体" w:hAnsi="宋体" w:eastAsia="宋体" w:cs="宋体"/>
          <w:sz w:val="24"/>
          <w:szCs w:val="24"/>
        </w:rPr>
        <w:t>无涉。</w:t>
      </w:r>
    </w:p>
    <w:p w14:paraId="3E693F2B">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本次拍卖标的的建筑面积、</w:t>
      </w:r>
      <w:r>
        <w:rPr>
          <w:rFonts w:hint="eastAsia" w:ascii="宋体" w:hAnsi="宋体" w:eastAsia="宋体" w:cs="宋体"/>
          <w:sz w:val="24"/>
          <w:szCs w:val="24"/>
          <w:lang w:eastAsia="zh-CN"/>
        </w:rPr>
        <w:t>土地使用权</w:t>
      </w:r>
      <w:r>
        <w:rPr>
          <w:rFonts w:hint="eastAsia" w:ascii="宋体" w:hAnsi="宋体" w:eastAsia="宋体" w:cs="宋体"/>
          <w:sz w:val="24"/>
          <w:szCs w:val="24"/>
        </w:rPr>
        <w:t>面积等数据均出自不动产登记部门核准的证载面积，拍卖成交后在办理不动产权属登记、过户时，若出现面积或其他证载事项上的差异，不影响本次拍卖成交和成交价格，成交款项也不作退补。</w:t>
      </w:r>
    </w:p>
    <w:p w14:paraId="1D2663DB">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3、标的</w:t>
      </w:r>
      <w:r>
        <w:rPr>
          <w:rFonts w:hint="eastAsia" w:ascii="宋体" w:hAnsi="宋体" w:eastAsia="宋体" w:cs="宋体"/>
          <w:sz w:val="24"/>
          <w:szCs w:val="24"/>
        </w:rPr>
        <w:t>交付前</w:t>
      </w:r>
      <w:r>
        <w:rPr>
          <w:rFonts w:hint="eastAsia" w:ascii="宋体" w:hAnsi="宋体" w:eastAsia="宋体" w:cs="宋体"/>
          <w:sz w:val="24"/>
          <w:szCs w:val="24"/>
          <w:lang w:val="en-US" w:eastAsia="zh-CN"/>
        </w:rPr>
        <w:t>所发生的水、电等相关费用</w:t>
      </w:r>
      <w:r>
        <w:rPr>
          <w:rFonts w:hint="eastAsia" w:ascii="宋体" w:hAnsi="宋体" w:eastAsia="宋体" w:cs="宋体"/>
          <w:sz w:val="24"/>
          <w:szCs w:val="24"/>
        </w:rPr>
        <w:t>由</w:t>
      </w:r>
      <w:r>
        <w:rPr>
          <w:rFonts w:hint="eastAsia" w:ascii="宋体" w:hAnsi="宋体" w:eastAsia="宋体" w:cs="宋体"/>
          <w:sz w:val="24"/>
          <w:szCs w:val="24"/>
          <w:lang w:eastAsia="zh-CN"/>
        </w:rPr>
        <w:t>甲方</w:t>
      </w:r>
      <w:r>
        <w:rPr>
          <w:rFonts w:hint="eastAsia" w:ascii="宋体" w:hAnsi="宋体" w:eastAsia="宋体" w:cs="宋体"/>
          <w:sz w:val="24"/>
          <w:szCs w:val="24"/>
        </w:rPr>
        <w:t>负责结清。</w:t>
      </w:r>
    </w:p>
    <w:p w14:paraId="3BEDD139">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w:t>
      </w:r>
      <w:r>
        <w:rPr>
          <w:rFonts w:hint="eastAsia" w:ascii="宋体" w:hAnsi="宋体" w:cs="宋体"/>
          <w:sz w:val="24"/>
          <w:szCs w:val="24"/>
          <w:lang w:eastAsia="zh-CN"/>
        </w:rPr>
        <w:t>标的</w:t>
      </w:r>
      <w:r>
        <w:rPr>
          <w:rFonts w:hint="eastAsia" w:ascii="宋体" w:hAnsi="宋体" w:eastAsia="宋体" w:cs="宋体"/>
          <w:sz w:val="24"/>
          <w:szCs w:val="24"/>
        </w:rPr>
        <w:t>存在杂物、渗水或墙面剥落、开裂、上下水管道渗漏损毁、水、气、电表报停、被拆以及门窗、锁及其他配套设施损毁等情形的，均由买受人自行解决并承担相应费用，与</w:t>
      </w:r>
      <w:r>
        <w:rPr>
          <w:rFonts w:hint="eastAsia" w:ascii="宋体" w:hAnsi="宋体" w:cs="宋体"/>
          <w:sz w:val="24"/>
          <w:szCs w:val="24"/>
          <w:lang w:val="en-US" w:eastAsia="zh-CN"/>
        </w:rPr>
        <w:t>委托</w:t>
      </w:r>
      <w:r>
        <w:rPr>
          <w:rFonts w:hint="eastAsia" w:ascii="宋体" w:hAnsi="宋体" w:eastAsia="宋体" w:cs="宋体"/>
          <w:sz w:val="24"/>
          <w:szCs w:val="24"/>
          <w:lang w:eastAsia="zh-CN"/>
        </w:rPr>
        <w:t>双方</w:t>
      </w:r>
      <w:r>
        <w:rPr>
          <w:rFonts w:hint="eastAsia" w:ascii="宋体" w:hAnsi="宋体" w:eastAsia="宋体" w:cs="宋体"/>
          <w:sz w:val="24"/>
          <w:szCs w:val="24"/>
        </w:rPr>
        <w:t>无涉。</w:t>
      </w:r>
    </w:p>
    <w:p w14:paraId="5DD292FE">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其他具体内容详见《房屋买卖合同</w:t>
      </w:r>
      <w:r>
        <w:rPr>
          <w:rFonts w:hint="eastAsia" w:ascii="宋体" w:hAnsi="宋体" w:cs="宋体"/>
          <w:sz w:val="24"/>
          <w:lang w:eastAsia="zh-CN"/>
        </w:rPr>
        <w:t>（</w:t>
      </w:r>
      <w:r>
        <w:rPr>
          <w:rFonts w:hint="eastAsia" w:ascii="宋体" w:hAnsi="宋体" w:cs="宋体"/>
          <w:sz w:val="24"/>
          <w:lang w:val="en-US" w:eastAsia="zh-CN"/>
        </w:rPr>
        <w:t>样本）</w:t>
      </w:r>
      <w:r>
        <w:rPr>
          <w:rFonts w:hint="eastAsia" w:ascii="宋体" w:hAnsi="宋体" w:cs="宋体"/>
          <w:sz w:val="24"/>
        </w:rPr>
        <w:t>》。</w:t>
      </w:r>
    </w:p>
    <w:p w14:paraId="232754B1">
      <w:pPr>
        <w:keepNext w:val="0"/>
        <w:keepLines w:val="0"/>
        <w:pageBreakBefore w:val="0"/>
        <w:widowControl w:val="0"/>
        <w:kinsoku/>
        <w:wordWrap/>
        <w:overflowPunct/>
        <w:topLinePunct w:val="0"/>
        <w:autoSpaceDE/>
        <w:autoSpaceDN/>
        <w:bidi w:val="0"/>
        <w:adjustRightInd/>
        <w:snapToGrid/>
        <w:spacing w:before="157" w:beforeLines="50" w:after="156" w:afterLines="50" w:line="42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拍卖前期活动</w:t>
      </w:r>
    </w:p>
    <w:p w14:paraId="216E26BF">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2" w:firstLineChars="200"/>
        <w:textAlignment w:val="auto"/>
        <w:rPr>
          <w:rFonts w:hint="eastAsia" w:ascii="宋体" w:hAnsi="宋体"/>
          <w:color w:val="auto"/>
          <w:sz w:val="24"/>
        </w:rPr>
      </w:pPr>
      <w:r>
        <w:rPr>
          <w:rFonts w:hint="eastAsia" w:ascii="宋体" w:hAnsi="宋体"/>
          <w:b/>
          <w:color w:val="auto"/>
          <w:sz w:val="24"/>
        </w:rPr>
        <w:t xml:space="preserve">第六条 </w:t>
      </w:r>
      <w:r>
        <w:rPr>
          <w:rFonts w:hint="eastAsia" w:ascii="宋体" w:hAnsi="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3C726B21">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2DA06655">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eastAsia" w:ascii="宋体" w:hAnsi="宋体"/>
          <w:color w:val="auto"/>
          <w:sz w:val="24"/>
        </w:rPr>
        <w:t>在拍卖会举行前，如</w:t>
      </w:r>
      <w:r>
        <w:rPr>
          <w:rFonts w:hint="eastAsia" w:ascii="宋体" w:hAnsi="宋体"/>
          <w:color w:val="auto"/>
          <w:sz w:val="24"/>
          <w:lang w:eastAsia="zh-CN"/>
        </w:rPr>
        <w:t>委托人</w:t>
      </w:r>
      <w:r>
        <w:rPr>
          <w:rFonts w:hint="eastAsia" w:ascii="宋体" w:hAnsi="宋体"/>
          <w:color w:val="auto"/>
          <w:sz w:val="24"/>
        </w:rPr>
        <w:t>决定中止、暂缓或终止委托拍卖的，则竞买人应当无条件的予以接受，交纳的竞买保证金予以退还(</w:t>
      </w:r>
      <w:r>
        <w:rPr>
          <w:rFonts w:hint="eastAsia" w:ascii="宋体" w:hAnsi="宋体"/>
          <w:color w:val="auto"/>
          <w:sz w:val="24"/>
          <w:lang w:val="en-US" w:eastAsia="zh-CN"/>
        </w:rPr>
        <w:t>利息</w:t>
      </w:r>
      <w:r>
        <w:rPr>
          <w:rFonts w:hint="eastAsia" w:ascii="宋体" w:hAnsi="宋体"/>
          <w:color w:val="auto"/>
          <w:sz w:val="24"/>
        </w:rPr>
        <w:t>按</w:t>
      </w:r>
      <w:r>
        <w:rPr>
          <w:rFonts w:hint="eastAsia" w:ascii="宋体" w:hAnsi="宋体"/>
          <w:color w:val="auto"/>
          <w:sz w:val="24"/>
          <w:lang w:val="en-US" w:eastAsia="zh-CN"/>
        </w:rPr>
        <w:t>交入时</w:t>
      </w:r>
      <w:r>
        <w:rPr>
          <w:rFonts w:hint="eastAsia" w:ascii="宋体" w:hAnsi="宋体"/>
          <w:color w:val="auto"/>
          <w:sz w:val="24"/>
        </w:rPr>
        <w:t>银行同期活期存款利率计息），</w:t>
      </w:r>
      <w:r>
        <w:rPr>
          <w:rFonts w:hint="eastAsia" w:ascii="宋体" w:hAnsi="宋体"/>
          <w:color w:val="auto"/>
          <w:sz w:val="24"/>
          <w:lang w:eastAsia="zh-CN"/>
        </w:rPr>
        <w:t>委托人</w:t>
      </w:r>
      <w:r>
        <w:rPr>
          <w:rFonts w:hint="eastAsia" w:ascii="宋体" w:hAnsi="宋体"/>
          <w:color w:val="auto"/>
          <w:sz w:val="24"/>
        </w:rPr>
        <w:t>和拍卖人不承担竞买人的一切损失。</w:t>
      </w:r>
    </w:p>
    <w:p w14:paraId="1FD707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color w:val="auto"/>
          <w:sz w:val="24"/>
        </w:rPr>
      </w:pPr>
      <w:r>
        <w:rPr>
          <w:rFonts w:hint="eastAsia" w:ascii="宋体" w:hAnsi="宋体"/>
          <w:b/>
          <w:bCs/>
          <w:color w:val="auto"/>
          <w:sz w:val="24"/>
          <w:lang w:eastAsia="zh-CN"/>
        </w:rPr>
        <w:t>第七条</w:t>
      </w:r>
      <w:r>
        <w:rPr>
          <w:rFonts w:hint="eastAsia" w:ascii="宋体" w:hAnsi="宋体"/>
          <w:color w:val="auto"/>
          <w:sz w:val="24"/>
          <w:lang w:val="en-US" w:eastAsia="zh-CN"/>
        </w:rPr>
        <w:t xml:space="preserve">  </w:t>
      </w:r>
      <w:r>
        <w:rPr>
          <w:rFonts w:hint="eastAsia" w:ascii="宋体" w:hAnsi="宋体"/>
          <w:color w:val="auto"/>
          <w:sz w:val="24"/>
        </w:rPr>
        <w:t>竞买人应在报名登记前按时、足额交纳竞买保证金（</w:t>
      </w:r>
      <w:r>
        <w:rPr>
          <w:rFonts w:hint="eastAsia" w:ascii="宋体" w:hAnsi="宋体"/>
          <w:color w:val="auto"/>
          <w:sz w:val="24"/>
          <w:lang w:val="en-US" w:eastAsia="zh-CN"/>
        </w:rPr>
        <w:t>利息</w:t>
      </w:r>
      <w:r>
        <w:rPr>
          <w:rFonts w:hint="eastAsia" w:ascii="宋体" w:hAnsi="宋体"/>
          <w:color w:val="auto"/>
          <w:sz w:val="24"/>
        </w:rPr>
        <w:t>按</w:t>
      </w:r>
      <w:r>
        <w:rPr>
          <w:rFonts w:hint="eastAsia" w:ascii="宋体" w:hAnsi="宋体"/>
          <w:color w:val="auto"/>
          <w:sz w:val="24"/>
          <w:lang w:val="en-US" w:eastAsia="zh-CN"/>
        </w:rPr>
        <w:t>交入时</w:t>
      </w:r>
      <w:r>
        <w:rPr>
          <w:rFonts w:hint="eastAsia" w:ascii="宋体" w:hAnsi="宋体"/>
          <w:color w:val="auto"/>
          <w:sz w:val="24"/>
        </w:rPr>
        <w:t>银行同期活期存款利率计息）。</w:t>
      </w:r>
    </w:p>
    <w:p w14:paraId="5D70422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rPr>
      </w:pPr>
      <w:r>
        <w:rPr>
          <w:rFonts w:hint="default" w:ascii="宋体" w:hAnsi="宋体"/>
          <w:sz w:val="24"/>
        </w:rPr>
        <w:t>竞买人所领取的竞买保证金收据是参加拍卖活动的重要依据，应自行慎重处置，若因转交他人或遗失等产生的结果及可能导致的纠纷和经济损失，均由收据中注明的竞买人自行负全责</w:t>
      </w:r>
      <w:r>
        <w:rPr>
          <w:rFonts w:hint="eastAsia" w:ascii="宋体" w:hAnsi="宋体"/>
          <w:color w:val="auto"/>
          <w:sz w:val="24"/>
        </w:rPr>
        <w:t>，与拍卖人无涉。</w:t>
      </w:r>
    </w:p>
    <w:p w14:paraId="5F2DDC75">
      <w:pPr>
        <w:keepNext w:val="0"/>
        <w:keepLines w:val="0"/>
        <w:pageBreakBefore w:val="0"/>
        <w:widowControl w:val="0"/>
        <w:kinsoku/>
        <w:wordWrap/>
        <w:overflowPunct/>
        <w:topLinePunct w:val="0"/>
        <w:autoSpaceDE/>
        <w:autoSpaceDN/>
        <w:bidi w:val="0"/>
        <w:adjustRightInd/>
        <w:snapToGrid/>
        <w:spacing w:before="124" w:beforeLines="40" w:after="124" w:afterLines="40" w:line="420" w:lineRule="exact"/>
        <w:ind w:left="-178" w:leftChars="-85" w:right="-178" w:rightChars="-85"/>
        <w:jc w:val="center"/>
        <w:textAlignment w:val="auto"/>
        <w:rPr>
          <w:rFonts w:hint="eastAsia" w:ascii="宋体" w:hAnsi="宋体"/>
          <w:b/>
          <w:sz w:val="28"/>
          <w:szCs w:val="28"/>
        </w:rPr>
      </w:pPr>
      <w:r>
        <w:rPr>
          <w:rFonts w:hint="default" w:ascii="宋体" w:hAnsi="宋体"/>
          <w:b/>
          <w:sz w:val="28"/>
          <w:szCs w:val="28"/>
        </w:rPr>
        <w:t>拍卖会</w:t>
      </w:r>
    </w:p>
    <w:p w14:paraId="75C57FE1">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20" w:lineRule="exact"/>
        <w:ind w:right="0" w:rightChars="0" w:firstLine="482" w:firstLineChars="200"/>
        <w:textAlignment w:val="auto"/>
        <w:rPr>
          <w:rFonts w:hint="default" w:ascii="宋体" w:hAnsi="宋体"/>
          <w:sz w:val="24"/>
        </w:rPr>
      </w:pPr>
      <w:r>
        <w:rPr>
          <w:rFonts w:hint="eastAsia" w:ascii="宋体" w:hAnsi="宋体"/>
          <w:b/>
          <w:bCs/>
          <w:sz w:val="24"/>
          <w:lang w:val="en-US" w:eastAsia="zh-CN"/>
        </w:rPr>
        <w:t xml:space="preserve">第八条  </w:t>
      </w:r>
      <w:r>
        <w:rPr>
          <w:rFonts w:hint="eastAsia" w:ascii="宋体" w:hAnsi="宋体" w:eastAsia="宋体" w:cs="Times New Roman"/>
          <w:color w:val="auto"/>
          <w:sz w:val="24"/>
          <w:u w:val="none"/>
          <w:lang w:eastAsia="zh-CN"/>
        </w:rPr>
        <w:t>本次拍卖标的经过规定的报刊、网络发布公告，并经实地展示</w:t>
      </w:r>
      <w:r>
        <w:rPr>
          <w:rFonts w:hint="default" w:ascii="宋体" w:hAnsi="宋体"/>
          <w:sz w:val="24"/>
        </w:rPr>
        <w:t>，由拍卖人主持，并在相关当事人和监管部门监督下进行。</w:t>
      </w:r>
      <w:r>
        <w:rPr>
          <w:rFonts w:hint="default" w:ascii="宋体" w:hAnsi="宋体"/>
          <w:b/>
          <w:bCs/>
          <w:sz w:val="24"/>
        </w:rPr>
        <w:t>竞买人凭身份证明及竞买保证金收据登记入场，每一个号牌限进</w:t>
      </w:r>
      <w:r>
        <w:rPr>
          <w:rFonts w:hint="eastAsia" w:ascii="宋体" w:hAnsi="宋体"/>
          <w:b/>
          <w:bCs/>
          <w:sz w:val="24"/>
          <w:lang w:val="en-US" w:eastAsia="zh-CN"/>
        </w:rPr>
        <w:t>2</w:t>
      </w:r>
      <w:r>
        <w:rPr>
          <w:rFonts w:hint="default" w:ascii="宋体" w:hAnsi="宋体"/>
          <w:b/>
          <w:bCs/>
          <w:sz w:val="24"/>
        </w:rPr>
        <w:t>人。</w:t>
      </w:r>
      <w:r>
        <w:rPr>
          <w:rFonts w:hint="default" w:ascii="宋体" w:hAnsi="宋体"/>
          <w:sz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2AD6C9E0">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20" w:lineRule="exact"/>
        <w:ind w:right="-178" w:rightChars="-85" w:firstLine="482" w:firstLineChars="200"/>
        <w:textAlignment w:val="auto"/>
        <w:rPr>
          <w:rFonts w:hint="eastAsia" w:ascii="宋体" w:hAnsi="宋体"/>
          <w:b/>
          <w:bCs/>
          <w:sz w:val="24"/>
        </w:rPr>
      </w:pPr>
      <w:r>
        <w:rPr>
          <w:rFonts w:hint="default" w:ascii="宋体" w:hAnsi="宋体"/>
          <w:b/>
          <w:bCs/>
          <w:sz w:val="24"/>
        </w:rPr>
        <w:t>注：一个委托代理人只能接受一个竞买人的委托，且竞买人之间不得相互委托。</w:t>
      </w:r>
    </w:p>
    <w:p w14:paraId="5BB5B9A9">
      <w:pPr>
        <w:keepNext w:val="0"/>
        <w:keepLines w:val="0"/>
        <w:pageBreakBefore w:val="0"/>
        <w:widowControl w:val="0"/>
        <w:tabs>
          <w:tab w:val="left" w:pos="1995"/>
        </w:tabs>
        <w:kinsoku/>
        <w:wordWrap/>
        <w:overflowPunct/>
        <w:topLinePunct w:val="0"/>
        <w:autoSpaceDE/>
        <w:autoSpaceDN/>
        <w:bidi w:val="0"/>
        <w:adjustRightInd/>
        <w:snapToGrid/>
        <w:spacing w:line="420" w:lineRule="exact"/>
        <w:ind w:left="0" w:leftChars="0" w:right="-178" w:rightChars="-85" w:firstLine="482" w:firstLineChars="200"/>
        <w:textAlignment w:val="auto"/>
        <w:rPr>
          <w:rFonts w:hint="eastAsia" w:ascii="宋体" w:hAnsi="宋体"/>
          <w:sz w:val="24"/>
        </w:rPr>
      </w:pPr>
      <w:r>
        <w:rPr>
          <w:rFonts w:hint="default" w:ascii="宋体" w:hAnsi="宋体"/>
          <w:b/>
          <w:bCs/>
          <w:sz w:val="24"/>
        </w:rPr>
        <w:t>第九条</w:t>
      </w:r>
      <w:r>
        <w:rPr>
          <w:rFonts w:hint="eastAsia" w:ascii="宋体" w:hAnsi="宋体"/>
          <w:b/>
          <w:bCs/>
          <w:sz w:val="24"/>
          <w:lang w:val="en-US" w:eastAsia="zh-CN"/>
        </w:rPr>
        <w:t xml:space="preserve"> </w:t>
      </w:r>
      <w:r>
        <w:rPr>
          <w:rFonts w:hint="default" w:ascii="宋体" w:hAnsi="宋体"/>
          <w:sz w:val="24"/>
        </w:rPr>
        <w:t xml:space="preserve"> 竞买人一旦进入了拍卖会场，即表明已完全了解</w:t>
      </w:r>
      <w:r>
        <w:rPr>
          <w:rFonts w:hint="eastAsia" w:ascii="宋体" w:hAnsi="宋体"/>
          <w:sz w:val="24"/>
          <w:lang w:eastAsia="zh-CN"/>
        </w:rPr>
        <w:t>拍卖标的</w:t>
      </w:r>
      <w:r>
        <w:rPr>
          <w:rFonts w:hint="default" w:ascii="宋体" w:hAnsi="宋体"/>
          <w:sz w:val="24"/>
        </w:rPr>
        <w:t>的一切现状，接受</w:t>
      </w:r>
      <w:r>
        <w:rPr>
          <w:rFonts w:hint="eastAsia" w:ascii="宋体" w:hAnsi="宋体"/>
          <w:sz w:val="24"/>
          <w:lang w:eastAsia="zh-CN"/>
        </w:rPr>
        <w:t>拍卖标的</w:t>
      </w:r>
      <w:r>
        <w:rPr>
          <w:rFonts w:hint="default" w:ascii="宋体" w:hAnsi="宋体"/>
          <w:sz w:val="24"/>
        </w:rPr>
        <w:t>已知和未知的瑕疵、缺陷，对自己参加竞买的行为及其后对</w:t>
      </w:r>
      <w:r>
        <w:rPr>
          <w:rFonts w:hint="eastAsia" w:ascii="宋体" w:hAnsi="宋体"/>
          <w:sz w:val="24"/>
          <w:lang w:eastAsia="zh-CN"/>
        </w:rPr>
        <w:t>拍卖标的</w:t>
      </w:r>
      <w:r>
        <w:rPr>
          <w:rFonts w:hint="default" w:ascii="宋体" w:hAnsi="宋体"/>
          <w:sz w:val="24"/>
        </w:rPr>
        <w:t>的权利行使期间之各种风险、状态，自行承担法律责任。</w:t>
      </w:r>
    </w:p>
    <w:p w14:paraId="65F16688">
      <w:pPr>
        <w:keepNext w:val="0"/>
        <w:keepLines w:val="0"/>
        <w:pageBreakBefore w:val="0"/>
        <w:widowControl w:val="0"/>
        <w:tabs>
          <w:tab w:val="left" w:pos="1995"/>
        </w:tabs>
        <w:kinsoku/>
        <w:wordWrap/>
        <w:overflowPunct/>
        <w:topLinePunct w:val="0"/>
        <w:autoSpaceDE/>
        <w:autoSpaceDN/>
        <w:bidi w:val="0"/>
        <w:adjustRightInd/>
        <w:snapToGrid/>
        <w:spacing w:line="420" w:lineRule="exact"/>
        <w:ind w:right="0" w:rightChars="0" w:firstLine="482" w:firstLineChars="200"/>
        <w:textAlignment w:val="auto"/>
        <w:rPr>
          <w:rFonts w:hint="eastAsia" w:ascii="宋体" w:hAnsi="宋体"/>
          <w:sz w:val="24"/>
        </w:rPr>
      </w:pPr>
      <w:r>
        <w:rPr>
          <w:rFonts w:hint="default" w:ascii="宋体" w:hAnsi="宋体"/>
          <w:b/>
          <w:bCs/>
          <w:sz w:val="24"/>
        </w:rPr>
        <w:t>第十条</w:t>
      </w:r>
      <w:r>
        <w:rPr>
          <w:rFonts w:hint="default" w:ascii="宋体" w:hAnsi="宋体"/>
          <w:sz w:val="24"/>
        </w:rPr>
        <w:t xml:space="preserve"> </w:t>
      </w:r>
      <w:r>
        <w:rPr>
          <w:rFonts w:hint="eastAsia" w:ascii="宋体" w:hAnsi="宋体"/>
          <w:sz w:val="24"/>
          <w:lang w:val="en-US" w:eastAsia="zh-CN"/>
        </w:rPr>
        <w:t xml:space="preserve"> </w:t>
      </w:r>
      <w:r>
        <w:rPr>
          <w:rFonts w:hint="default" w:ascii="宋体" w:hAnsi="宋体"/>
          <w:b/>
          <w:bCs/>
          <w:sz w:val="24"/>
        </w:rPr>
        <w:t>本次拍卖采用“现场</w:t>
      </w:r>
      <w:r>
        <w:rPr>
          <w:rFonts w:hint="eastAsia" w:ascii="宋体" w:hAnsi="宋体"/>
          <w:b/>
          <w:bCs/>
          <w:sz w:val="24"/>
          <w:lang w:eastAsia="zh-CN"/>
        </w:rPr>
        <w:t>拍卖</w:t>
      </w:r>
      <w:r>
        <w:rPr>
          <w:rFonts w:hint="default" w:ascii="宋体" w:hAnsi="宋体"/>
          <w:b/>
          <w:bCs/>
          <w:sz w:val="24"/>
        </w:rPr>
        <w:t>”的方式，价高者得的原则，在规定报名时间内须有效报名2名及以上且必须到场拍卖，且至少1名有效出价，方可成交。</w:t>
      </w:r>
    </w:p>
    <w:p w14:paraId="46EB3FA3">
      <w:pPr>
        <w:keepNext w:val="0"/>
        <w:keepLines w:val="0"/>
        <w:pageBreakBefore w:val="0"/>
        <w:widowControl w:val="0"/>
        <w:tabs>
          <w:tab w:val="left" w:pos="1995"/>
        </w:tabs>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ascii="宋体" w:hAnsi="宋体"/>
          <w:sz w:val="24"/>
        </w:rPr>
      </w:pPr>
      <w:r>
        <w:rPr>
          <w:rFonts w:hint="default" w:ascii="宋体" w:hAnsi="宋体"/>
          <w:sz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2D9E4DEE">
      <w:pPr>
        <w:keepNext w:val="0"/>
        <w:keepLines w:val="0"/>
        <w:pageBreakBefore w:val="0"/>
        <w:widowControl w:val="0"/>
        <w:tabs>
          <w:tab w:val="left" w:pos="1995"/>
        </w:tabs>
        <w:kinsoku/>
        <w:wordWrap/>
        <w:overflowPunct/>
        <w:topLinePunct w:val="0"/>
        <w:autoSpaceDE/>
        <w:autoSpaceDN/>
        <w:bidi w:val="0"/>
        <w:adjustRightInd/>
        <w:snapToGrid/>
        <w:spacing w:line="420" w:lineRule="exact"/>
        <w:ind w:right="-178" w:rightChars="-85" w:firstLine="482" w:firstLineChars="200"/>
        <w:textAlignment w:val="auto"/>
        <w:rPr>
          <w:rFonts w:hint="eastAsia" w:ascii="宋体" w:hAnsi="宋体"/>
          <w:sz w:val="24"/>
        </w:rPr>
      </w:pPr>
      <w:r>
        <w:rPr>
          <w:rFonts w:hint="default" w:ascii="宋体" w:hAnsi="宋体"/>
          <w:b/>
          <w:bCs/>
          <w:sz w:val="24"/>
        </w:rPr>
        <w:t>第十一条</w:t>
      </w:r>
      <w:r>
        <w:rPr>
          <w:rFonts w:hint="default" w:ascii="宋体" w:hAnsi="宋体"/>
          <w:sz w:val="24"/>
        </w:rPr>
        <w:t xml:space="preserve"> </w:t>
      </w:r>
      <w:r>
        <w:rPr>
          <w:rFonts w:hint="eastAsia" w:ascii="宋体" w:hAnsi="宋体"/>
          <w:b/>
          <w:bCs/>
          <w:sz w:val="24"/>
          <w:lang w:val="en-US" w:eastAsia="zh-CN"/>
        </w:rPr>
        <w:t xml:space="preserve"> </w:t>
      </w:r>
      <w:r>
        <w:rPr>
          <w:rFonts w:hint="default" w:ascii="宋体" w:hAnsi="宋体"/>
          <w:b/>
          <w:bCs/>
          <w:sz w:val="24"/>
        </w:rPr>
        <w:t>本次拍卖会举牌须知如下：</w:t>
      </w:r>
    </w:p>
    <w:p w14:paraId="7F60DD3C">
      <w:pPr>
        <w:keepNext w:val="0"/>
        <w:keepLines w:val="0"/>
        <w:pageBreakBefore w:val="0"/>
        <w:widowControl w:val="0"/>
        <w:tabs>
          <w:tab w:val="left" w:pos="1995"/>
        </w:tabs>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ascii="宋体" w:hAnsi="宋体"/>
          <w:sz w:val="24"/>
        </w:rPr>
      </w:pPr>
      <w:r>
        <w:rPr>
          <w:rFonts w:hint="default" w:ascii="宋体" w:hAnsi="宋体"/>
          <w:sz w:val="24"/>
        </w:rPr>
        <w:t>本次拍卖标的设有保留价，不达到保留价不成交。保留价对外公开，保留价即为起拍价。拍卖计价货币为人民币。拍卖时的起拍价和成交价均为裸价，不包含</w:t>
      </w:r>
      <w:r>
        <w:rPr>
          <w:rFonts w:hint="eastAsia" w:ascii="宋体" w:hAnsi="宋体"/>
          <w:sz w:val="24"/>
          <w:lang w:eastAsia="zh-CN"/>
        </w:rPr>
        <w:t>任何</w:t>
      </w:r>
      <w:r>
        <w:rPr>
          <w:rFonts w:hint="default" w:ascii="宋体" w:hAnsi="宋体"/>
          <w:sz w:val="24"/>
        </w:rPr>
        <w:t>税</w:t>
      </w:r>
      <w:r>
        <w:rPr>
          <w:rFonts w:hint="eastAsia" w:ascii="宋体" w:hAnsi="宋体"/>
          <w:sz w:val="24"/>
          <w:lang w:eastAsia="zh-CN"/>
        </w:rPr>
        <w:t>、</w:t>
      </w:r>
      <w:r>
        <w:rPr>
          <w:rFonts w:hint="default" w:ascii="宋体" w:hAnsi="宋体"/>
          <w:sz w:val="24"/>
        </w:rPr>
        <w:t>费及买受佣金。</w:t>
      </w:r>
    </w:p>
    <w:p w14:paraId="704E47E6">
      <w:pPr>
        <w:keepNext w:val="0"/>
        <w:keepLines w:val="0"/>
        <w:pageBreakBefore w:val="0"/>
        <w:widowControl w:val="0"/>
        <w:tabs>
          <w:tab w:val="left" w:pos="1995"/>
        </w:tabs>
        <w:kinsoku/>
        <w:wordWrap/>
        <w:overflowPunct/>
        <w:topLinePunct w:val="0"/>
        <w:autoSpaceDE/>
        <w:autoSpaceDN/>
        <w:bidi w:val="0"/>
        <w:adjustRightInd/>
        <w:snapToGrid/>
        <w:spacing w:line="420" w:lineRule="exact"/>
        <w:ind w:left="0" w:leftChars="0" w:right="0" w:rightChars="0" w:firstLine="480" w:firstLineChars="200"/>
        <w:textAlignment w:val="auto"/>
        <w:rPr>
          <w:rFonts w:hint="default" w:ascii="宋体" w:hAnsi="宋体" w:eastAsia="宋体" w:cs="Times New Roman"/>
          <w:sz w:val="24"/>
        </w:rPr>
      </w:pPr>
      <w:r>
        <w:rPr>
          <w:rFonts w:hint="default" w:ascii="宋体" w:hAnsi="宋体"/>
          <w:sz w:val="24"/>
        </w:rPr>
        <w:t>拍卖时，先由拍卖师宣布起拍价，然后报出加价幅度。竞买人可举牌应价或按规定的加价幅度</w:t>
      </w:r>
      <w:r>
        <w:rPr>
          <w:rFonts w:hint="default" w:ascii="宋体" w:hAnsi="宋体" w:eastAsia="宋体" w:cs="Times New Roman"/>
          <w:sz w:val="24"/>
        </w:rPr>
        <w:t>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4EA06019">
      <w:pPr>
        <w:keepNext w:val="0"/>
        <w:keepLines w:val="0"/>
        <w:pageBreakBefore w:val="0"/>
        <w:widowControl w:val="0"/>
        <w:tabs>
          <w:tab w:val="left" w:pos="1995"/>
        </w:tabs>
        <w:kinsoku/>
        <w:wordWrap/>
        <w:overflowPunct/>
        <w:topLinePunct w:val="0"/>
        <w:autoSpaceDE/>
        <w:autoSpaceDN/>
        <w:bidi w:val="0"/>
        <w:adjustRightInd/>
        <w:snapToGrid/>
        <w:spacing w:line="420" w:lineRule="exact"/>
        <w:ind w:left="0" w:leftChars="0" w:right="0" w:rightChars="0" w:firstLine="480" w:firstLineChars="200"/>
        <w:textAlignment w:val="auto"/>
        <w:rPr>
          <w:rFonts w:hint="default" w:ascii="宋体" w:hAnsi="宋体" w:eastAsia="宋体" w:cs="Times New Roman"/>
          <w:sz w:val="24"/>
        </w:rPr>
      </w:pPr>
      <w:r>
        <w:rPr>
          <w:rFonts w:hint="eastAsia" w:ascii="宋体" w:hAnsi="宋体" w:eastAsia="宋体" w:cs="Times New Roman"/>
          <w:sz w:val="24"/>
        </w:rPr>
        <w:t>若</w:t>
      </w:r>
      <w:r>
        <w:rPr>
          <w:rFonts w:hint="eastAsia" w:ascii="宋体" w:hAnsi="宋体" w:eastAsia="宋体" w:cs="Times New Roman"/>
          <w:sz w:val="24"/>
          <w:lang w:eastAsia="zh-CN"/>
        </w:rPr>
        <w:t>本次拍卖</w:t>
      </w:r>
      <w:r>
        <w:rPr>
          <w:rFonts w:hint="eastAsia" w:ascii="宋体" w:hAnsi="宋体" w:eastAsia="宋体" w:cs="Times New Roman"/>
          <w:sz w:val="24"/>
        </w:rPr>
        <w:t>有优先权人参加，当会场上出现唯一的最高价格，</w:t>
      </w:r>
      <w:r>
        <w:rPr>
          <w:rFonts w:hint="eastAsia" w:ascii="宋体" w:hAnsi="宋体" w:eastAsia="宋体" w:cs="Times New Roman"/>
          <w:sz w:val="24"/>
          <w:lang w:eastAsia="zh-CN"/>
        </w:rPr>
        <w:t>拍卖师</w:t>
      </w:r>
      <w:r>
        <w:rPr>
          <w:rFonts w:hint="eastAsia" w:ascii="宋体" w:hAnsi="宋体" w:eastAsia="宋体" w:cs="Times New Roman"/>
          <w:sz w:val="24"/>
        </w:rPr>
        <w:t>应征得优先权人的意见后落槌，优先权人可以表示以该最高价买受，如无更高应价，则买受人为优先权人；如有更高应价，而优先权人不作表示的，则买受人为该应价最高的竞买人。</w:t>
      </w:r>
    </w:p>
    <w:p w14:paraId="2DB21A4D">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20" w:lineRule="exact"/>
        <w:ind w:right="-178" w:rightChars="-85" w:firstLine="482" w:firstLineChars="200"/>
        <w:textAlignment w:val="auto"/>
        <w:rPr>
          <w:rFonts w:hint="eastAsia" w:ascii="宋体" w:hAnsi="宋体" w:eastAsia="宋体" w:cs="Times New Roman"/>
          <w:color w:val="auto"/>
          <w:sz w:val="24"/>
          <w:u w:val="none"/>
          <w:lang w:eastAsia="zh-CN"/>
        </w:rPr>
      </w:pPr>
      <w:r>
        <w:rPr>
          <w:rFonts w:hint="eastAsia" w:ascii="宋体" w:hAnsi="宋体" w:eastAsia="宋体" w:cs="Times New Roman"/>
          <w:b/>
          <w:bCs/>
          <w:color w:val="auto"/>
          <w:sz w:val="24"/>
          <w:u w:val="none"/>
          <w:lang w:val="en-US" w:eastAsia="zh-CN"/>
        </w:rPr>
        <w:t xml:space="preserve">第十二条  </w:t>
      </w:r>
      <w:r>
        <w:rPr>
          <w:rFonts w:hint="default" w:ascii="宋体" w:hAnsi="宋体"/>
          <w:sz w:val="24"/>
        </w:rPr>
        <w:t>买受人是指以最高有效应价竞得拍卖标的</w:t>
      </w:r>
      <w:r>
        <w:rPr>
          <w:rFonts w:hint="eastAsia" w:ascii="宋体" w:hAnsi="宋体"/>
          <w:sz w:val="24"/>
          <w:lang w:eastAsia="zh-CN"/>
        </w:rPr>
        <w:t>的</w:t>
      </w:r>
      <w:r>
        <w:rPr>
          <w:rFonts w:hint="default" w:ascii="宋体" w:hAnsi="宋体"/>
          <w:sz w:val="24"/>
        </w:rPr>
        <w:t>竞买人。拍卖成交后，买受人须与拍卖人当场签署《拍卖成交确认书》并在《拍卖笔录》上签名或盖章。上述文件不论买受人是否签署，其全部条款即对买受人产生约束力并生效。</w:t>
      </w:r>
    </w:p>
    <w:p w14:paraId="0B6081D5">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拍卖后期工作</w:t>
      </w:r>
    </w:p>
    <w:p w14:paraId="7D46C61E">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20" w:lineRule="exact"/>
        <w:ind w:right="-178" w:rightChars="-85" w:firstLine="482" w:firstLineChars="200"/>
        <w:textAlignment w:val="auto"/>
        <w:rPr>
          <w:rFonts w:hint="default" w:ascii="宋体" w:hAnsi="宋体"/>
          <w:sz w:val="24"/>
        </w:rPr>
      </w:pPr>
      <w:r>
        <w:rPr>
          <w:rFonts w:hint="eastAsia" w:ascii="宋体" w:hAnsi="宋体" w:eastAsia="宋体" w:cs="Times New Roman"/>
          <w:b/>
          <w:bCs/>
          <w:color w:val="auto"/>
          <w:sz w:val="24"/>
          <w:u w:val="none"/>
          <w:lang w:val="en-US" w:eastAsia="zh-CN"/>
        </w:rPr>
        <w:t xml:space="preserve">第十三条  </w:t>
      </w:r>
      <w:r>
        <w:rPr>
          <w:rFonts w:hint="default" w:ascii="宋体" w:hAnsi="宋体"/>
          <w:sz w:val="24"/>
        </w:rPr>
        <w:t>拍卖会结束后，由拍卖人当场向买受人发放《拍卖成交确认书》。</w:t>
      </w:r>
    </w:p>
    <w:p w14:paraId="66A0BBCE">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20" w:lineRule="exact"/>
        <w:ind w:right="-178" w:rightChars="-85" w:firstLine="480" w:firstLineChars="200"/>
        <w:textAlignment w:val="auto"/>
        <w:rPr>
          <w:rFonts w:hint="eastAsia" w:ascii="宋体" w:hAnsi="宋体" w:eastAsia="宋体" w:cs="Times New Roman"/>
          <w:color w:val="auto"/>
          <w:sz w:val="24"/>
          <w:u w:val="none"/>
          <w:lang w:val="en-US" w:eastAsia="zh-CN"/>
        </w:rPr>
      </w:pPr>
      <w:r>
        <w:rPr>
          <w:rFonts w:hint="eastAsia" w:ascii="宋体" w:hAnsi="宋体" w:eastAsia="宋体" w:cs="Times New Roman"/>
          <w:color w:val="auto"/>
          <w:sz w:val="24"/>
          <w:u w:val="none"/>
          <w:lang w:eastAsia="zh-CN"/>
        </w:rPr>
        <w:t>未竞得拍卖标的的竞买人，在拍卖会结束后的3个工作日内，由拍卖人凭竞买人报名时登记的户名及账号退还竞买保证金（</w:t>
      </w:r>
      <w:r>
        <w:rPr>
          <w:rFonts w:hint="eastAsia" w:ascii="宋体" w:hAnsi="宋体" w:cs="Times New Roman"/>
          <w:color w:val="auto"/>
          <w:sz w:val="24"/>
          <w:u w:val="none"/>
          <w:lang w:val="en-US" w:eastAsia="zh-CN"/>
        </w:rPr>
        <w:t>利息</w:t>
      </w:r>
      <w:r>
        <w:rPr>
          <w:rFonts w:hint="eastAsia" w:ascii="宋体" w:hAnsi="宋体" w:eastAsia="宋体" w:cs="Times New Roman"/>
          <w:color w:val="auto"/>
          <w:sz w:val="24"/>
          <w:u w:val="none"/>
          <w:lang w:eastAsia="zh-CN"/>
        </w:rPr>
        <w:t>按</w:t>
      </w:r>
      <w:r>
        <w:rPr>
          <w:rFonts w:hint="eastAsia" w:ascii="宋体" w:hAnsi="宋体" w:cs="Times New Roman"/>
          <w:color w:val="auto"/>
          <w:sz w:val="24"/>
          <w:u w:val="none"/>
          <w:lang w:val="en-US" w:eastAsia="zh-CN"/>
        </w:rPr>
        <w:t>交入时</w:t>
      </w:r>
      <w:r>
        <w:rPr>
          <w:rFonts w:hint="eastAsia" w:ascii="宋体" w:hAnsi="宋体" w:eastAsia="宋体" w:cs="Times New Roman"/>
          <w:color w:val="auto"/>
          <w:sz w:val="24"/>
          <w:u w:val="none"/>
          <w:lang w:eastAsia="zh-CN"/>
        </w:rPr>
        <w:t>银行同期活期存款利率计息）；买受人的竞买保证金可冲抵拍卖成交款及买受佣金。</w:t>
      </w:r>
      <w:r>
        <w:rPr>
          <w:rFonts w:hint="eastAsia" w:ascii="宋体" w:hAnsi="宋体" w:eastAsia="宋体" w:cs="Times New Roman"/>
          <w:color w:val="auto"/>
          <w:sz w:val="24"/>
          <w:u w:val="none"/>
          <w:lang w:val="en-US" w:eastAsia="zh-CN"/>
        </w:rPr>
        <w:t xml:space="preserve"> </w:t>
      </w:r>
    </w:p>
    <w:p w14:paraId="1DF8782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宋体" w:hAnsi="宋体"/>
          <w:b/>
          <w:bCs/>
          <w:color w:val="000000" w:themeColor="text1"/>
          <w:sz w:val="24"/>
          <w14:textFill>
            <w14:solidFill>
              <w14:schemeClr w14:val="tx1"/>
            </w14:solidFill>
          </w14:textFill>
        </w:rPr>
      </w:pPr>
      <w:r>
        <w:rPr>
          <w:rFonts w:hint="eastAsia" w:ascii="宋体" w:hAnsi="宋体" w:eastAsia="宋体" w:cs="Times New Roman"/>
          <w:b/>
          <w:bCs/>
          <w:color w:val="auto"/>
          <w:sz w:val="24"/>
          <w:u w:val="none"/>
          <w:lang w:eastAsia="zh-CN"/>
        </w:rPr>
        <w:t>如未收到竞买保证金的，请及时与拍卖人联系（0574-6</w:t>
      </w:r>
      <w:r>
        <w:rPr>
          <w:rFonts w:hint="eastAsia" w:ascii="宋体" w:hAnsi="宋体" w:cs="Times New Roman"/>
          <w:b/>
          <w:bCs/>
          <w:color w:val="auto"/>
          <w:sz w:val="24"/>
          <w:u w:val="none"/>
          <w:lang w:val="en-US" w:eastAsia="zh-CN"/>
        </w:rPr>
        <w:t>2727901</w:t>
      </w:r>
      <w:r>
        <w:rPr>
          <w:rFonts w:hint="eastAsia" w:ascii="宋体" w:hAnsi="宋体" w:eastAsia="宋体" w:cs="Times New Roman"/>
          <w:b/>
          <w:bCs/>
          <w:color w:val="auto"/>
          <w:sz w:val="24"/>
          <w:u w:val="none"/>
          <w:lang w:eastAsia="zh-CN"/>
        </w:rPr>
        <w:t>）。</w:t>
      </w:r>
    </w:p>
    <w:p w14:paraId="23F158D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cs="宋体"/>
          <w:b/>
          <w:color w:val="000000" w:themeColor="text1"/>
          <w:kern w:val="0"/>
          <w:sz w:val="24"/>
          <w:lang w:eastAsia="zh-CN"/>
          <w14:textFill>
            <w14:solidFill>
              <w14:schemeClr w14:val="tx1"/>
            </w14:solidFill>
          </w14:textFill>
        </w:rPr>
        <w:t>第十四条</w:t>
      </w:r>
      <w:r>
        <w:rPr>
          <w:rFonts w:hint="eastAsia" w:ascii="宋体" w:hAnsi="宋体" w:cs="宋体"/>
          <w:b/>
          <w:color w:val="000000" w:themeColor="text1"/>
          <w:kern w:val="0"/>
          <w:sz w:val="24"/>
          <w14:textFill>
            <w14:solidFill>
              <w14:schemeClr w14:val="tx1"/>
            </w14:solidFill>
          </w14:textFill>
        </w:rPr>
        <w:t xml:space="preserve"> 付款办法及签约时间</w:t>
      </w:r>
      <w:bookmarkStart w:id="2" w:name="_Hlk122379280"/>
      <w:r>
        <w:rPr>
          <w:rFonts w:hint="eastAsia" w:ascii="宋体" w:hAnsi="宋体" w:cs="宋体"/>
          <w:b/>
          <w:color w:val="000000" w:themeColor="text1"/>
          <w:kern w:val="0"/>
          <w:sz w:val="24"/>
          <w:lang w:eastAsia="zh-CN"/>
          <w14:textFill>
            <w14:solidFill>
              <w14:schemeClr w14:val="tx1"/>
            </w14:solidFill>
          </w14:textFill>
        </w:rPr>
        <w:t>：</w:t>
      </w:r>
      <w:r>
        <w:rPr>
          <w:rFonts w:hint="eastAsia" w:ascii="宋体" w:hAnsi="宋体" w:eastAsia="宋体" w:cs="宋体"/>
          <w:b w:val="0"/>
          <w:bCs/>
          <w:color w:val="000000"/>
          <w:kern w:val="0"/>
          <w:sz w:val="24"/>
          <w:szCs w:val="24"/>
        </w:rPr>
        <w:t>买受人</w:t>
      </w:r>
      <w:r>
        <w:rPr>
          <w:rFonts w:hint="eastAsia" w:ascii="宋体" w:hAnsi="宋体" w:eastAsia="宋体" w:cs="宋体"/>
          <w:bCs/>
          <w:color w:val="000000"/>
          <w:kern w:val="0"/>
          <w:sz w:val="24"/>
          <w:szCs w:val="24"/>
        </w:rPr>
        <w:t>须在</w:t>
      </w:r>
      <w:r>
        <w:rPr>
          <w:rFonts w:hint="eastAsia" w:ascii="宋体" w:hAnsi="宋体" w:eastAsia="宋体" w:cs="宋体"/>
          <w:b w:val="0"/>
          <w:bCs/>
          <w:color w:val="000000"/>
          <w:kern w:val="0"/>
          <w:sz w:val="24"/>
          <w:szCs w:val="24"/>
          <w:lang w:val="en-US" w:eastAsia="zh-CN"/>
        </w:rPr>
        <w:t>2024</w:t>
      </w:r>
      <w:r>
        <w:rPr>
          <w:rFonts w:hint="eastAsia" w:ascii="宋体" w:hAnsi="宋体" w:eastAsia="宋体" w:cs="宋体"/>
          <w:b w:val="0"/>
          <w:bCs/>
          <w:color w:val="000000"/>
          <w:kern w:val="0"/>
          <w:sz w:val="24"/>
          <w:szCs w:val="24"/>
        </w:rPr>
        <w:t>年</w:t>
      </w:r>
      <w:r>
        <w:rPr>
          <w:rFonts w:hint="eastAsia" w:ascii="宋体" w:hAnsi="宋体" w:cs="宋体"/>
          <w:b w:val="0"/>
          <w:bCs/>
          <w:color w:val="000000"/>
          <w:kern w:val="0"/>
          <w:sz w:val="24"/>
          <w:szCs w:val="24"/>
          <w:lang w:val="en-US" w:eastAsia="zh-CN"/>
        </w:rPr>
        <w:t>8</w:t>
      </w:r>
      <w:r>
        <w:rPr>
          <w:rFonts w:hint="eastAsia" w:ascii="宋体" w:hAnsi="宋体" w:eastAsia="宋体" w:cs="宋体"/>
          <w:b w:val="0"/>
          <w:bCs/>
          <w:color w:val="000000"/>
          <w:kern w:val="0"/>
          <w:sz w:val="24"/>
          <w:szCs w:val="24"/>
        </w:rPr>
        <w:t>月</w:t>
      </w:r>
      <w:r>
        <w:rPr>
          <w:rFonts w:hint="eastAsia" w:ascii="宋体" w:hAnsi="宋体" w:cs="宋体"/>
          <w:b w:val="0"/>
          <w:bCs/>
          <w:color w:val="000000"/>
          <w:kern w:val="0"/>
          <w:sz w:val="24"/>
          <w:szCs w:val="24"/>
          <w:lang w:val="en-US" w:eastAsia="zh-CN"/>
        </w:rPr>
        <w:t>16</w:t>
      </w:r>
      <w:r>
        <w:rPr>
          <w:rFonts w:hint="eastAsia" w:ascii="宋体" w:hAnsi="宋体" w:eastAsia="宋体" w:cs="宋体"/>
          <w:b w:val="0"/>
          <w:bCs/>
          <w:color w:val="000000"/>
          <w:kern w:val="0"/>
          <w:sz w:val="24"/>
          <w:szCs w:val="24"/>
        </w:rPr>
        <w:t>日下午4时前（以实际到账为准）向</w:t>
      </w:r>
      <w:r>
        <w:rPr>
          <w:rFonts w:hint="eastAsia" w:ascii="宋体" w:hAnsi="宋体" w:eastAsia="宋体" w:cs="宋体"/>
          <w:b w:val="0"/>
          <w:bCs/>
          <w:color w:val="000000"/>
          <w:kern w:val="0"/>
          <w:sz w:val="24"/>
          <w:szCs w:val="24"/>
          <w:lang w:eastAsia="zh-CN"/>
        </w:rPr>
        <w:t>拍卖人</w:t>
      </w:r>
      <w:r>
        <w:rPr>
          <w:rFonts w:hint="eastAsia" w:ascii="宋体" w:hAnsi="宋体" w:eastAsia="宋体" w:cs="宋体"/>
          <w:b w:val="0"/>
          <w:bCs/>
          <w:color w:val="000000"/>
          <w:kern w:val="0"/>
          <w:sz w:val="24"/>
          <w:szCs w:val="24"/>
        </w:rPr>
        <w:t>一次性付清</w:t>
      </w:r>
      <w:r>
        <w:rPr>
          <w:rFonts w:hint="eastAsia" w:ascii="宋体" w:hAnsi="宋体" w:eastAsia="宋体" w:cs="宋体"/>
          <w:b w:val="0"/>
          <w:bCs/>
          <w:color w:val="000000"/>
          <w:kern w:val="0"/>
          <w:sz w:val="24"/>
          <w:szCs w:val="24"/>
          <w:lang w:eastAsia="zh-CN"/>
        </w:rPr>
        <w:t>拍卖成交款和拍卖成交价</w:t>
      </w:r>
      <w:r>
        <w:rPr>
          <w:rFonts w:hint="eastAsia" w:ascii="宋体" w:hAnsi="宋体" w:eastAsia="宋体" w:cs="宋体"/>
          <w:b w:val="0"/>
          <w:bCs/>
          <w:color w:val="000000"/>
          <w:kern w:val="0"/>
          <w:sz w:val="24"/>
          <w:szCs w:val="24"/>
          <w:lang w:val="en-US" w:eastAsia="zh-CN"/>
        </w:rPr>
        <w:t>1.5%的买受佣金</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然后于</w:t>
      </w:r>
      <w:r>
        <w:rPr>
          <w:rFonts w:hint="eastAsia" w:ascii="宋体" w:hAnsi="宋体" w:eastAsia="宋体" w:cs="宋体"/>
          <w:b w:val="0"/>
          <w:bCs/>
          <w:color w:val="000000"/>
          <w:kern w:val="0"/>
          <w:sz w:val="24"/>
          <w:szCs w:val="24"/>
          <w:lang w:val="en-US" w:eastAsia="zh-CN"/>
        </w:rPr>
        <w:t xml:space="preserve"> 2024</w:t>
      </w:r>
      <w:r>
        <w:rPr>
          <w:rFonts w:hint="eastAsia" w:ascii="宋体" w:hAnsi="宋体" w:eastAsia="宋体" w:cs="宋体"/>
          <w:b w:val="0"/>
          <w:bCs/>
          <w:color w:val="000000"/>
          <w:kern w:val="0"/>
          <w:sz w:val="24"/>
          <w:szCs w:val="24"/>
        </w:rPr>
        <w:t>年</w:t>
      </w:r>
      <w:r>
        <w:rPr>
          <w:rFonts w:hint="eastAsia" w:ascii="宋体" w:hAnsi="宋体" w:cs="宋体"/>
          <w:b w:val="0"/>
          <w:bCs/>
          <w:color w:val="000000"/>
          <w:kern w:val="0"/>
          <w:sz w:val="24"/>
          <w:szCs w:val="24"/>
          <w:lang w:val="en-US" w:eastAsia="zh-CN"/>
        </w:rPr>
        <w:t>8</w:t>
      </w:r>
      <w:r>
        <w:rPr>
          <w:rFonts w:hint="eastAsia" w:ascii="宋体" w:hAnsi="宋体" w:eastAsia="宋体" w:cs="宋体"/>
          <w:b w:val="0"/>
          <w:bCs/>
          <w:color w:val="000000"/>
          <w:kern w:val="0"/>
          <w:sz w:val="24"/>
          <w:szCs w:val="24"/>
        </w:rPr>
        <w:t>月</w:t>
      </w:r>
      <w:r>
        <w:rPr>
          <w:rFonts w:hint="eastAsia" w:ascii="宋体" w:hAnsi="宋体" w:cs="宋体"/>
          <w:b w:val="0"/>
          <w:bCs/>
          <w:color w:val="000000"/>
          <w:kern w:val="0"/>
          <w:sz w:val="24"/>
          <w:szCs w:val="24"/>
          <w:lang w:val="en-US" w:eastAsia="zh-CN"/>
        </w:rPr>
        <w:t>19</w:t>
      </w:r>
      <w:r>
        <w:rPr>
          <w:rFonts w:hint="eastAsia" w:ascii="宋体" w:hAnsi="宋体" w:eastAsia="宋体" w:cs="宋体"/>
          <w:b w:val="0"/>
          <w:bCs/>
          <w:color w:val="000000"/>
          <w:kern w:val="0"/>
          <w:sz w:val="24"/>
          <w:szCs w:val="24"/>
        </w:rPr>
        <w:t>日</w:t>
      </w:r>
      <w:r>
        <w:rPr>
          <w:rFonts w:hint="eastAsia" w:ascii="宋体" w:hAnsi="宋体" w:eastAsia="宋体" w:cs="宋体"/>
          <w:b w:val="0"/>
          <w:bCs/>
          <w:color w:val="000000"/>
          <w:kern w:val="0"/>
          <w:sz w:val="24"/>
          <w:szCs w:val="24"/>
          <w:lang w:val="en-US" w:eastAsia="zh-CN"/>
        </w:rPr>
        <w:t xml:space="preserve">- </w:t>
      </w:r>
      <w:r>
        <w:rPr>
          <w:rFonts w:hint="eastAsia" w:ascii="宋体" w:hAnsi="宋体" w:cs="宋体"/>
          <w:b w:val="0"/>
          <w:bCs/>
          <w:color w:val="000000"/>
          <w:kern w:val="0"/>
          <w:sz w:val="24"/>
          <w:szCs w:val="24"/>
          <w:lang w:val="en-US" w:eastAsia="zh-CN"/>
        </w:rPr>
        <w:t>20</w:t>
      </w:r>
      <w:r>
        <w:rPr>
          <w:rFonts w:hint="eastAsia" w:ascii="宋体" w:hAnsi="宋体" w:eastAsia="宋体" w:cs="宋体"/>
          <w:color w:val="000000"/>
          <w:sz w:val="24"/>
          <w:szCs w:val="24"/>
          <w:lang w:eastAsia="zh-CN"/>
        </w:rPr>
        <w:t>日（上午9:00—11:00，下午2:00—4:00，节假日除外）凭拍卖人出具的相关证明材料与身份证明原件与委托人签订《房屋买卖合同》。</w:t>
      </w:r>
    </w:p>
    <w:p w14:paraId="63D899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default" w:ascii="宋体" w:hAnsi="宋体"/>
          <w:b/>
          <w:bCs/>
          <w:color w:val="000000" w:themeColor="text1"/>
          <w:sz w:val="24"/>
          <w:lang w:eastAsia="zh-CN"/>
          <w14:textFill>
            <w14:solidFill>
              <w14:schemeClr w14:val="tx1"/>
            </w14:solidFill>
          </w14:textFill>
        </w:rPr>
      </w:pPr>
      <w:r>
        <w:rPr>
          <w:rFonts w:hint="eastAsia"/>
          <w:b/>
          <w:color w:val="000000" w:themeColor="text1"/>
          <w:sz w:val="24"/>
          <w:lang w:eastAsia="zh-CN"/>
          <w14:textFill>
            <w14:solidFill>
              <w14:schemeClr w14:val="tx1"/>
            </w14:solidFill>
          </w14:textFill>
        </w:rPr>
        <w:t>上述款项请汇入拍卖人账户</w:t>
      </w:r>
      <w:r>
        <w:rPr>
          <w:rFonts w:hint="eastAsia"/>
          <w:color w:val="000000" w:themeColor="text1"/>
          <w:sz w:val="24"/>
          <w14:textFill>
            <w14:solidFill>
              <w14:schemeClr w14:val="tx1"/>
            </w14:solidFill>
          </w14:textFill>
        </w:rPr>
        <w:t>（户名：宁波阳明拍卖有限公司，开户行：</w:t>
      </w:r>
      <w:r>
        <w:rPr>
          <w:rFonts w:hint="eastAsia"/>
          <w:color w:val="000000" w:themeColor="text1"/>
          <w:sz w:val="24"/>
          <w:lang w:val="en-US" w:eastAsia="zh-CN"/>
          <w14:textFill>
            <w14:solidFill>
              <w14:schemeClr w14:val="tx1"/>
            </w14:solidFill>
          </w14:textFill>
        </w:rPr>
        <w:t>中信</w:t>
      </w:r>
      <w:r>
        <w:rPr>
          <w:rFonts w:hint="eastAsia"/>
          <w:color w:val="000000" w:themeColor="text1"/>
          <w:sz w:val="24"/>
          <w14:textFill>
            <w14:solidFill>
              <w14:schemeClr w14:val="tx1"/>
            </w14:solidFill>
          </w14:textFill>
        </w:rPr>
        <w:t>银行余姚</w:t>
      </w:r>
      <w:r>
        <w:rPr>
          <w:rFonts w:hint="eastAsia"/>
          <w:color w:val="000000" w:themeColor="text1"/>
          <w:sz w:val="24"/>
          <w:lang w:val="en-US" w:eastAsia="zh-CN"/>
          <w14:textFill>
            <w14:solidFill>
              <w14:schemeClr w14:val="tx1"/>
            </w14:solidFill>
          </w14:textFill>
        </w:rPr>
        <w:t>支</w:t>
      </w:r>
      <w:r>
        <w:rPr>
          <w:rFonts w:hint="eastAsia"/>
          <w:color w:val="000000" w:themeColor="text1"/>
          <w:sz w:val="24"/>
          <w14:textFill>
            <w14:solidFill>
              <w14:schemeClr w14:val="tx1"/>
            </w14:solidFill>
          </w14:textFill>
        </w:rPr>
        <w:t>行，账号：</w:t>
      </w:r>
      <w:r>
        <w:rPr>
          <w:rStyle w:val="12"/>
          <w:rFonts w:hint="eastAsia" w:ascii="Times New Roman" w:hAnsi="Times New Roman" w:cs="Times New Roman"/>
          <w:color w:val="000000" w:themeColor="text1"/>
          <w:lang w:val="en-US" w:eastAsia="zh-CN"/>
          <w14:textFill>
            <w14:solidFill>
              <w14:schemeClr w14:val="tx1"/>
            </w14:solidFill>
          </w14:textFill>
        </w:rPr>
        <w:t>8114701084445008888</w:t>
      </w:r>
      <w:r>
        <w:rPr>
          <w:rFonts w:hint="eastAsia"/>
          <w:color w:val="000000" w:themeColor="text1"/>
          <w:sz w:val="24"/>
          <w14:textFill>
            <w14:solidFill>
              <w14:schemeClr w14:val="tx1"/>
            </w14:solidFill>
          </w14:textFill>
        </w:rPr>
        <w:t>）。</w:t>
      </w:r>
    </w:p>
    <w:bookmarkEnd w:id="2"/>
    <w:p w14:paraId="21EEAB87">
      <w:pPr>
        <w:keepNext w:val="0"/>
        <w:keepLines w:val="0"/>
        <w:pageBreakBefore w:val="0"/>
        <w:widowControl w:val="0"/>
        <w:kinsoku/>
        <w:wordWrap/>
        <w:overflowPunct/>
        <w:topLinePunct w:val="0"/>
        <w:autoSpaceDE/>
        <w:autoSpaceDN/>
        <w:bidi w:val="0"/>
        <w:adjustRightInd/>
        <w:snapToGrid/>
        <w:spacing w:line="420" w:lineRule="exact"/>
        <w:ind w:firstLine="472" w:firstLineChars="197"/>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拍卖人</w:t>
      </w:r>
      <w:r>
        <w:rPr>
          <w:rFonts w:hint="eastAsia" w:ascii="宋体" w:hAnsi="宋体" w:eastAsia="宋体" w:cs="宋体"/>
          <w:color w:val="000000"/>
          <w:sz w:val="24"/>
          <w:szCs w:val="24"/>
        </w:rPr>
        <w:t>出具买受佣金发票和拍卖成交款收据，其他相关票据</w:t>
      </w:r>
      <w:r>
        <w:rPr>
          <w:rFonts w:hint="eastAsia" w:ascii="宋体" w:hAnsi="宋体" w:eastAsia="宋体" w:cs="宋体"/>
          <w:color w:val="000000"/>
          <w:sz w:val="24"/>
          <w:szCs w:val="24"/>
          <w:lang w:val="en-US" w:eastAsia="zh-CN"/>
        </w:rPr>
        <w:t>由委托人提供</w:t>
      </w:r>
      <w:r>
        <w:rPr>
          <w:rFonts w:hint="eastAsia" w:ascii="宋体" w:hAnsi="宋体" w:eastAsia="宋体" w:cs="宋体"/>
          <w:color w:val="000000"/>
          <w:sz w:val="24"/>
          <w:szCs w:val="24"/>
        </w:rPr>
        <w:t>。</w:t>
      </w:r>
    </w:p>
    <w:p w14:paraId="7B8B3F11">
      <w:pPr>
        <w:keepNext w:val="0"/>
        <w:keepLines w:val="0"/>
        <w:pageBreakBefore w:val="0"/>
        <w:widowControl w:val="0"/>
        <w:kinsoku/>
        <w:wordWrap/>
        <w:overflowPunct/>
        <w:topLinePunct w:val="0"/>
        <w:autoSpaceDE/>
        <w:autoSpaceDN/>
        <w:bidi w:val="0"/>
        <w:adjustRightInd/>
        <w:snapToGrid/>
        <w:spacing w:line="420" w:lineRule="exact"/>
        <w:ind w:firstLine="475" w:firstLineChars="197"/>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第十五条</w:t>
      </w:r>
      <w:r>
        <w:rPr>
          <w:rFonts w:hint="eastAsia" w:ascii="宋体" w:hAnsi="宋体"/>
          <w:b/>
          <w:color w:val="000000" w:themeColor="text1"/>
          <w:sz w:val="24"/>
          <w:highlight w:val="none"/>
          <w:lang w:val="en-US" w:eastAsia="zh-CN"/>
          <w14:textFill>
            <w14:solidFill>
              <w14:schemeClr w14:val="tx1"/>
            </w14:solidFill>
          </w14:textFill>
        </w:rPr>
        <w:t xml:space="preserve">  违约责任：</w:t>
      </w:r>
      <w:r>
        <w:rPr>
          <w:rFonts w:hint="eastAsia" w:ascii="宋体" w:hAnsi="宋体"/>
          <w:b/>
          <w:color w:val="000000" w:themeColor="text1"/>
          <w:sz w:val="24"/>
          <w:highlight w:val="none"/>
          <w14:textFill>
            <w14:solidFill>
              <w14:schemeClr w14:val="tx1"/>
            </w14:solidFill>
          </w14:textFill>
        </w:rPr>
        <w:t>因买受人存在未按约定签订《拍卖成交确认</w:t>
      </w:r>
      <w:r>
        <w:rPr>
          <w:rFonts w:hint="eastAsia" w:ascii="宋体" w:hAnsi="宋体"/>
          <w:b/>
          <w:color w:val="000000" w:themeColor="text1"/>
          <w:sz w:val="24"/>
          <w14:textFill>
            <w14:solidFill>
              <w14:schemeClr w14:val="tx1"/>
            </w14:solidFill>
          </w14:textFill>
        </w:rPr>
        <w:t>书》等拍卖文件或《</w:t>
      </w:r>
      <w:r>
        <w:rPr>
          <w:rFonts w:hint="eastAsia" w:ascii="宋体" w:hAnsi="宋体"/>
          <w:b/>
          <w:color w:val="000000" w:themeColor="text1"/>
          <w:sz w:val="24"/>
          <w:lang w:eastAsia="zh-CN"/>
          <w14:textFill>
            <w14:solidFill>
              <w14:schemeClr w14:val="tx1"/>
            </w14:solidFill>
          </w14:textFill>
        </w:rPr>
        <w:t>房屋买卖合同</w:t>
      </w:r>
      <w:r>
        <w:rPr>
          <w:rFonts w:hint="eastAsia" w:ascii="宋体" w:hAnsi="宋体"/>
          <w:b/>
          <w:color w:val="000000" w:themeColor="text1"/>
          <w:sz w:val="24"/>
          <w14:textFill>
            <w14:solidFill>
              <w14:schemeClr w14:val="tx1"/>
            </w14:solidFill>
          </w14:textFill>
        </w:rPr>
        <w:t>》、或未能按期足额支付本须知约定的所有款项等行为的，均视为买受人自动放弃成交</w:t>
      </w:r>
      <w:r>
        <w:rPr>
          <w:rFonts w:hint="eastAsia" w:ascii="宋体" w:hAnsi="宋体"/>
          <w:b/>
          <w:color w:val="000000" w:themeColor="text1"/>
          <w:sz w:val="24"/>
          <w:lang w:eastAsia="zh-CN"/>
          <w14:textFill>
            <w14:solidFill>
              <w14:schemeClr w14:val="tx1"/>
            </w14:solidFill>
          </w14:textFill>
        </w:rPr>
        <w:t>标的</w:t>
      </w:r>
      <w:r>
        <w:rPr>
          <w:rFonts w:hint="eastAsia" w:ascii="宋体" w:hAnsi="宋体"/>
          <w:b/>
          <w:color w:val="000000" w:themeColor="text1"/>
          <w:sz w:val="24"/>
          <w14:textFill>
            <w14:solidFill>
              <w14:schemeClr w14:val="tx1"/>
            </w14:solidFill>
          </w14:textFill>
        </w:rPr>
        <w:t>，属违约：拍卖人有权取消其买受人资格，撤销《拍卖成交确认书》，竞买保证金自动转为违约金，将不予退还，并取消该</w:t>
      </w:r>
      <w:r>
        <w:rPr>
          <w:rFonts w:hint="eastAsia" w:ascii="宋体" w:hAnsi="宋体"/>
          <w:b/>
          <w:color w:val="000000" w:themeColor="text1"/>
          <w:sz w:val="24"/>
          <w:lang w:eastAsia="zh-CN"/>
          <w14:textFill>
            <w14:solidFill>
              <w14:schemeClr w14:val="tx1"/>
            </w14:solidFill>
          </w14:textFill>
        </w:rPr>
        <w:t>标的</w:t>
      </w:r>
      <w:r>
        <w:rPr>
          <w:rFonts w:hint="eastAsia" w:ascii="宋体" w:hAnsi="宋体"/>
          <w:b/>
          <w:color w:val="000000" w:themeColor="text1"/>
          <w:sz w:val="24"/>
          <w14:textFill>
            <w14:solidFill>
              <w14:schemeClr w14:val="tx1"/>
            </w14:solidFill>
          </w14:textFill>
        </w:rPr>
        <w:t>再次拍卖时的该买受人的竞买资格，且委托人有权按《拍卖法》第三十九条规定，追究违约责任。</w:t>
      </w:r>
    </w:p>
    <w:p w14:paraId="3F97ED3B">
      <w:pPr>
        <w:keepNext w:val="0"/>
        <w:keepLines w:val="0"/>
        <w:pageBreakBefore w:val="0"/>
        <w:widowControl w:val="0"/>
        <w:kinsoku/>
        <w:wordWrap/>
        <w:overflowPunct/>
        <w:topLinePunct w:val="0"/>
        <w:autoSpaceDE/>
        <w:autoSpaceDN/>
        <w:bidi w:val="0"/>
        <w:adjustRightInd/>
        <w:snapToGrid/>
        <w:spacing w:line="420" w:lineRule="exact"/>
        <w:ind w:firstLine="472" w:firstLineChars="197"/>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《拍卖法》第三十九条：买受人应当按照约定支付拍卖标的的价款，未按照约定支付价款的，应当承担违约责任，或者由拍卖人征得委托人的同意，将拍卖标的再行拍卖。</w:t>
      </w:r>
    </w:p>
    <w:p w14:paraId="5B0C0CC6">
      <w:pPr>
        <w:keepNext w:val="0"/>
        <w:keepLines w:val="0"/>
        <w:pageBreakBefore w:val="0"/>
        <w:widowControl w:val="0"/>
        <w:kinsoku/>
        <w:wordWrap/>
        <w:overflowPunct/>
        <w:topLinePunct w:val="0"/>
        <w:autoSpaceDE/>
        <w:autoSpaceDN/>
        <w:bidi w:val="0"/>
        <w:adjustRightInd/>
        <w:snapToGrid/>
        <w:spacing w:line="420" w:lineRule="exact"/>
        <w:ind w:firstLine="472" w:firstLineChars="197"/>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拍卖标的再行拍卖的，原买受人应当支付第一次拍卖中本人及委托人应当支付的佣金。再行拍卖的价款低于原拍卖价款的，原买受人应当补足差额。</w:t>
      </w:r>
    </w:p>
    <w:p w14:paraId="12D2EB7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六</w:t>
      </w:r>
      <w:r>
        <w:rPr>
          <w:rFonts w:hint="eastAsia" w:ascii="宋体" w:hAnsi="宋体"/>
          <w:b/>
          <w:color w:val="000000" w:themeColor="text1"/>
          <w:sz w:val="24"/>
          <w14:textFill>
            <w14:solidFill>
              <w14:schemeClr w14:val="tx1"/>
            </w14:solidFill>
          </w14:textFill>
        </w:rPr>
        <w:t xml:space="preserve">条  </w:t>
      </w:r>
      <w:r>
        <w:rPr>
          <w:rFonts w:hint="eastAsia" w:ascii="宋体" w:hAnsi="宋体"/>
          <w:b/>
          <w:color w:val="000000" w:themeColor="text1"/>
          <w:sz w:val="24"/>
          <w:lang w:eastAsia="zh-CN"/>
          <w14:textFill>
            <w14:solidFill>
              <w14:schemeClr w14:val="tx1"/>
            </w14:solidFill>
          </w14:textFill>
        </w:rPr>
        <w:t>标的</w:t>
      </w:r>
      <w:r>
        <w:rPr>
          <w:rFonts w:hint="eastAsia" w:ascii="宋体" w:hAnsi="宋体"/>
          <w:b/>
          <w:color w:val="000000" w:themeColor="text1"/>
          <w:sz w:val="24"/>
          <w14:textFill>
            <w14:solidFill>
              <w14:schemeClr w14:val="tx1"/>
            </w14:solidFill>
          </w14:textFill>
        </w:rPr>
        <w:t>交付</w:t>
      </w:r>
    </w:p>
    <w:p w14:paraId="41D8968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（一）</w:t>
      </w:r>
      <w:r>
        <w:rPr>
          <w:rFonts w:hint="eastAsia" w:ascii="宋体" w:hAnsi="宋体"/>
          <w:bCs/>
          <w:color w:val="000000" w:themeColor="text1"/>
          <w:sz w:val="24"/>
          <w14:textFill>
            <w14:solidFill>
              <w14:schemeClr w14:val="tx1"/>
            </w14:solidFill>
          </w14:textFill>
        </w:rPr>
        <w:t>权属交付：</w:t>
      </w:r>
      <w:r>
        <w:rPr>
          <w:rFonts w:hint="eastAsia" w:ascii="宋体" w:hAnsi="宋体" w:cs="宋体"/>
          <w:color w:val="auto"/>
          <w:sz w:val="24"/>
          <w:highlight w:val="none"/>
          <w:lang w:val="en-US" w:eastAsia="zh-CN"/>
        </w:rPr>
        <w:t>2024年10月9日前完成权证过户手续</w:t>
      </w:r>
      <w:r>
        <w:rPr>
          <w:rFonts w:hint="eastAsia" w:ascii="宋体" w:hAnsi="宋体"/>
          <w:bCs/>
          <w:color w:val="000000" w:themeColor="text1"/>
          <w:sz w:val="24"/>
          <w14:textFill>
            <w14:solidFill>
              <w14:schemeClr w14:val="tx1"/>
            </w14:solidFill>
          </w14:textFill>
        </w:rPr>
        <w:t>；</w:t>
      </w:r>
    </w:p>
    <w:p w14:paraId="336B3FE2">
      <w:pPr>
        <w:keepNext w:val="0"/>
        <w:keepLines w:val="0"/>
        <w:pageBreakBefore w:val="0"/>
        <w:widowControl w:val="0"/>
        <w:kinsoku/>
        <w:wordWrap/>
        <w:overflowPunct/>
        <w:topLinePunct w:val="0"/>
        <w:autoSpaceDE/>
        <w:autoSpaceDN/>
        <w:bidi w:val="0"/>
        <w:adjustRightInd/>
        <w:snapToGrid/>
        <w:spacing w:line="420" w:lineRule="exact"/>
        <w:ind w:firstLine="472" w:firstLineChars="197"/>
        <w:textAlignment w:val="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（二）</w:t>
      </w:r>
      <w:r>
        <w:rPr>
          <w:rFonts w:hint="eastAsia" w:ascii="宋体" w:hAnsi="宋体"/>
          <w:bCs/>
          <w:color w:val="000000" w:themeColor="text1"/>
          <w:sz w:val="24"/>
          <w14:textFill>
            <w14:solidFill>
              <w14:schemeClr w14:val="tx1"/>
            </w14:solidFill>
          </w14:textFill>
        </w:rPr>
        <w:t>实物交付：</w:t>
      </w:r>
      <w:r>
        <w:rPr>
          <w:rFonts w:hint="eastAsia" w:ascii="宋体" w:hAnsi="宋体"/>
          <w:bCs/>
          <w:color w:val="000000" w:themeColor="text1"/>
          <w:sz w:val="24"/>
          <w:lang w:val="en-US" w:eastAsia="zh-CN"/>
          <w14:textFill>
            <w14:solidFill>
              <w14:schemeClr w14:val="tx1"/>
            </w14:solidFill>
          </w14:textFill>
        </w:rPr>
        <w:t>2025</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8</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31</w:t>
      </w:r>
      <w:r>
        <w:rPr>
          <w:rFonts w:hint="eastAsia" w:ascii="宋体" w:hAnsi="宋体"/>
          <w:bCs/>
          <w:color w:val="000000" w:themeColor="text1"/>
          <w:sz w:val="24"/>
          <w14:textFill>
            <w14:solidFill>
              <w14:schemeClr w14:val="tx1"/>
            </w14:solidFill>
          </w14:textFill>
        </w:rPr>
        <w:t>日前。</w:t>
      </w:r>
    </w:p>
    <w:p w14:paraId="69D94F58">
      <w:pPr>
        <w:keepNext w:val="0"/>
        <w:keepLines w:val="0"/>
        <w:pageBreakBefore w:val="0"/>
        <w:widowControl w:val="0"/>
        <w:kinsoku/>
        <w:wordWrap/>
        <w:overflowPunct/>
        <w:topLinePunct w:val="0"/>
        <w:autoSpaceDE/>
        <w:autoSpaceDN/>
        <w:bidi w:val="0"/>
        <w:adjustRightInd/>
        <w:snapToGrid/>
        <w:spacing w:line="420" w:lineRule="exact"/>
        <w:ind w:firstLine="475" w:firstLineChars="197"/>
        <w:textAlignment w:val="auto"/>
        <w:rPr>
          <w:rFonts w:ascii="宋体" w:hAnsi="宋体" w:cs="宋体"/>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七</w:t>
      </w:r>
      <w:r>
        <w:rPr>
          <w:rFonts w:hint="eastAsia" w:ascii="宋体" w:hAnsi="宋体"/>
          <w:b/>
          <w:color w:val="000000" w:themeColor="text1"/>
          <w:sz w:val="24"/>
          <w14:textFill>
            <w14:solidFill>
              <w14:schemeClr w14:val="tx1"/>
            </w14:solidFill>
          </w14:textFill>
        </w:rPr>
        <w:t>条  拍卖</w:t>
      </w:r>
      <w:r>
        <w:rPr>
          <w:rFonts w:hint="eastAsia" w:ascii="宋体" w:hAnsi="宋体" w:cs="宋体"/>
          <w:b/>
          <w:bCs/>
          <w:color w:val="000000" w:themeColor="text1"/>
          <w:kern w:val="0"/>
          <w:sz w:val="24"/>
          <w14:textFill>
            <w14:solidFill>
              <w14:schemeClr w14:val="tx1"/>
            </w14:solidFill>
          </w14:textFill>
        </w:rPr>
        <w:t>结果公告：</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房屋买卖合同</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生效后的2个工作日内，由拍卖人将交易结果在宁波市公共资源交易电子服务系统公告5个工作日。</w:t>
      </w:r>
    </w:p>
    <w:p w14:paraId="7158649F">
      <w:pPr>
        <w:keepNext w:val="0"/>
        <w:keepLines w:val="0"/>
        <w:pageBreakBefore w:val="0"/>
        <w:widowControl w:val="0"/>
        <w:kinsoku/>
        <w:wordWrap/>
        <w:overflowPunct/>
        <w:topLinePunct w:val="0"/>
        <w:autoSpaceDE/>
        <w:autoSpaceDN/>
        <w:bidi w:val="0"/>
        <w:adjustRightInd/>
        <w:snapToGrid/>
        <w:spacing w:line="420" w:lineRule="exact"/>
        <w:ind w:firstLine="475" w:firstLineChars="197"/>
        <w:textAlignment w:val="auto"/>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八</w:t>
      </w:r>
      <w:r>
        <w:rPr>
          <w:rFonts w:ascii="宋体" w:hAnsi="宋体" w:cs="宋体"/>
          <w:b/>
          <w:bCs/>
          <w:color w:val="000000" w:themeColor="text1"/>
          <w:kern w:val="0"/>
          <w:sz w:val="24"/>
          <w14:textFill>
            <w14:solidFill>
              <w14:schemeClr w14:val="tx1"/>
            </w14:solidFill>
          </w14:textFill>
        </w:rPr>
        <w:t>条</w:t>
      </w:r>
      <w:r>
        <w:rPr>
          <w:rFonts w:hint="eastAsia" w:ascii="宋体" w:hAnsi="宋体" w:cs="宋体"/>
          <w:b/>
          <w:bCs/>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买受人存在提供虚假文件、隐瞒事实、恶意串通等违反拍卖原则行为的，委托人和拍卖人有权取消其买受人资格，撤销《拍卖成交确认书》，解除《</w:t>
      </w:r>
      <w:r>
        <w:rPr>
          <w:rFonts w:hint="eastAsia" w:ascii="宋体" w:hAnsi="宋体" w:cs="宋体"/>
          <w:color w:val="000000" w:themeColor="text1"/>
          <w:kern w:val="0"/>
          <w:sz w:val="24"/>
          <w:lang w:eastAsia="zh-CN"/>
          <w14:textFill>
            <w14:solidFill>
              <w14:schemeClr w14:val="tx1"/>
            </w14:solidFill>
          </w14:textFill>
        </w:rPr>
        <w:t>房屋买卖合同</w:t>
      </w:r>
      <w:r>
        <w:rPr>
          <w:rFonts w:hint="eastAsia" w:ascii="宋体" w:hAnsi="宋体" w:cs="宋体"/>
          <w:color w:val="000000" w:themeColor="text1"/>
          <w:kern w:val="0"/>
          <w:sz w:val="24"/>
          <w14:textFill>
            <w14:solidFill>
              <w14:schemeClr w14:val="tx1"/>
            </w14:solidFill>
          </w14:textFill>
        </w:rPr>
        <w:t>》，造成的损失由买受人赔偿。</w:t>
      </w:r>
    </w:p>
    <w:p w14:paraId="7C66DD18">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 则</w:t>
      </w:r>
    </w:p>
    <w:p w14:paraId="1E8288C3">
      <w:pPr>
        <w:keepNext w:val="0"/>
        <w:keepLines w:val="0"/>
        <w:pageBreakBefore w:val="0"/>
        <w:widowControl w:val="0"/>
        <w:kinsoku/>
        <w:wordWrap/>
        <w:overflowPunct/>
        <w:topLinePunct w:val="0"/>
        <w:autoSpaceDE/>
        <w:autoSpaceDN/>
        <w:bidi w:val="0"/>
        <w:adjustRightInd/>
        <w:snapToGrid/>
        <w:spacing w:line="420" w:lineRule="exact"/>
        <w:ind w:firstLine="470" w:firstLineChars="195"/>
        <w:textAlignment w:val="auto"/>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九</w:t>
      </w:r>
      <w:r>
        <w:rPr>
          <w:rFonts w:ascii="宋体" w:hAnsi="宋体" w:cs="宋体"/>
          <w:b/>
          <w:bCs/>
          <w:color w:val="000000" w:themeColor="text1"/>
          <w:kern w:val="0"/>
          <w:sz w:val="24"/>
          <w14:textFill>
            <w14:solidFill>
              <w14:schemeClr w14:val="tx1"/>
            </w14:solidFill>
          </w14:textFill>
        </w:rPr>
        <w:t>条</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000000" w:themeColor="text1"/>
          <w:kern w:val="0"/>
          <w:sz w:val="24"/>
          <w14:textFill>
            <w14:solidFill>
              <w14:schemeClr w14:val="tx1"/>
            </w14:solidFill>
          </w14:textFill>
        </w:rPr>
        <w:t>委托人</w:t>
      </w:r>
      <w:r>
        <w:rPr>
          <w:rFonts w:ascii="宋体" w:hAnsi="宋体" w:cs="宋体"/>
          <w:color w:val="000000" w:themeColor="text1"/>
          <w:kern w:val="0"/>
          <w:sz w:val="24"/>
          <w14:textFill>
            <w14:solidFill>
              <w14:schemeClr w14:val="tx1"/>
            </w14:solidFill>
          </w14:textFill>
        </w:rPr>
        <w:t>、拍卖人无涉。</w:t>
      </w:r>
    </w:p>
    <w:p w14:paraId="3CA766FA">
      <w:pPr>
        <w:keepNext w:val="0"/>
        <w:keepLines w:val="0"/>
        <w:pageBreakBefore w:val="0"/>
        <w:widowControl w:val="0"/>
        <w:kinsoku/>
        <w:wordWrap/>
        <w:overflowPunct/>
        <w:topLinePunct w:val="0"/>
        <w:autoSpaceDE/>
        <w:autoSpaceDN/>
        <w:bidi w:val="0"/>
        <w:adjustRightInd/>
        <w:snapToGrid/>
        <w:spacing w:line="420" w:lineRule="exact"/>
        <w:ind w:firstLine="470" w:firstLineChars="195"/>
        <w:textAlignment w:val="auto"/>
        <w:rPr>
          <w:rFonts w:hint="eastAsia"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w:t>
      </w:r>
      <w:r>
        <w:rPr>
          <w:rFonts w:hint="eastAsia" w:ascii="宋体" w:hAnsi="宋体" w:cs="宋体"/>
          <w:b/>
          <w:bCs/>
          <w:color w:val="000000" w:themeColor="text1"/>
          <w:kern w:val="0"/>
          <w:sz w:val="24"/>
          <w:lang w:eastAsia="zh-CN"/>
          <w14:textFill>
            <w14:solidFill>
              <w14:schemeClr w14:val="tx1"/>
            </w14:solidFill>
          </w14:textFill>
        </w:rPr>
        <w:t>二十</w:t>
      </w:r>
      <w:r>
        <w:rPr>
          <w:rFonts w:ascii="宋体" w:hAnsi="宋体" w:cs="宋体"/>
          <w:b/>
          <w:bCs/>
          <w:color w:val="000000" w:themeColor="text1"/>
          <w:kern w:val="0"/>
          <w:sz w:val="24"/>
          <w14:textFill>
            <w14:solidFill>
              <w14:schemeClr w14:val="tx1"/>
            </w14:solidFill>
          </w14:textFill>
        </w:rPr>
        <w:t>条</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本须知解释权归本次拍卖活动的委托人、拍卖人所有</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 xml:space="preserve"> </w:t>
      </w:r>
    </w:p>
    <w:p w14:paraId="0B8975B7">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textAlignment w:val="auto"/>
        <w:rPr>
          <w:rFonts w:hint="eastAsia" w:ascii="宋体" w:hAnsi="宋体"/>
          <w:b/>
          <w:sz w:val="28"/>
          <w:szCs w:val="28"/>
        </w:rPr>
      </w:pPr>
      <w:r>
        <w:rPr>
          <w:rFonts w:hint="default" w:ascii="宋体" w:hAnsi="宋体"/>
          <w:b/>
          <w:sz w:val="28"/>
          <w:szCs w:val="28"/>
        </w:rPr>
        <w:t>会场纪律</w:t>
      </w:r>
    </w:p>
    <w:p w14:paraId="4C959CD0">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一、竞买人有序进入拍卖会场，拍卖会现场必须服从工作人员的安排。</w:t>
      </w:r>
    </w:p>
    <w:p w14:paraId="74E6CE8B">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二、现场拍卖期间，要求竞买人之间间隔1个座位就坐参拍；严禁聚众扎堆。</w:t>
      </w:r>
    </w:p>
    <w:p w14:paraId="7C60DFE4">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三、进入拍卖会场后，请保持安静，不得大声喧哗。</w:t>
      </w:r>
    </w:p>
    <w:p w14:paraId="57070054">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四、自觉爱护场内公共设施、设备，对故意毁坏造成的损失，由当事人负责赔偿。</w:t>
      </w:r>
    </w:p>
    <w:p w14:paraId="5DD6F36E">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五、对故意扰乱现场秩序、干扰拍卖会正常进行的竞买人，工作人员有权将劝其退场。</w:t>
      </w:r>
    </w:p>
    <w:p w14:paraId="4F8FEC20">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六、拍卖会结束后，要求竞买人有序退场，同时将号牌归还工作人员。</w:t>
      </w:r>
    </w:p>
    <w:p w14:paraId="22D7A8BA">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七、在会场内禁止吸烟。</w:t>
      </w:r>
    </w:p>
    <w:p w14:paraId="6CD42E71">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ascii="宋体" w:hAnsi="宋体" w:cs="宋体"/>
          <w:kern w:val="0"/>
          <w:sz w:val="24"/>
        </w:rPr>
      </w:pPr>
      <w:r>
        <w:rPr>
          <w:rFonts w:hint="default" w:ascii="宋体" w:hAnsi="宋体" w:cs="宋体"/>
          <w:kern w:val="0"/>
          <w:sz w:val="24"/>
        </w:rPr>
        <w:t>八、妥善保管好个人物品，损坏、丢失等后果自负。</w:t>
      </w:r>
    </w:p>
    <w:p w14:paraId="481E07FB">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hint="default" w:ascii="宋体" w:hAnsi="宋体" w:cs="宋体"/>
          <w:kern w:val="0"/>
          <w:sz w:val="24"/>
        </w:rPr>
      </w:pPr>
      <w:r>
        <w:rPr>
          <w:rFonts w:hint="default" w:ascii="宋体" w:hAnsi="宋体" w:cs="宋体"/>
          <w:kern w:val="0"/>
          <w:sz w:val="24"/>
        </w:rPr>
        <w:t>九、理性应价，谨慎举牌。</w:t>
      </w:r>
    </w:p>
    <w:p w14:paraId="6BFE4CDF">
      <w:pPr>
        <w:keepNext w:val="0"/>
        <w:keepLines w:val="0"/>
        <w:pageBreakBefore w:val="0"/>
        <w:widowControl w:val="0"/>
        <w:kinsoku/>
        <w:wordWrap/>
        <w:overflowPunct/>
        <w:topLinePunct w:val="0"/>
        <w:autoSpaceDE/>
        <w:autoSpaceDN/>
        <w:bidi w:val="0"/>
        <w:adjustRightInd/>
        <w:snapToGrid/>
        <w:spacing w:line="420" w:lineRule="exact"/>
        <w:ind w:firstLine="468" w:firstLineChars="195"/>
        <w:textAlignment w:val="auto"/>
        <w:rPr>
          <w:rFonts w:hint="eastAsia" w:ascii="宋体" w:hAnsi="宋体" w:cs="宋体"/>
          <w:kern w:val="0"/>
          <w:sz w:val="24"/>
        </w:rPr>
      </w:pPr>
    </w:p>
    <w:p w14:paraId="22F885D9">
      <w:pPr>
        <w:keepNext w:val="0"/>
        <w:keepLines w:val="0"/>
        <w:pageBreakBefore w:val="0"/>
        <w:widowControl w:val="0"/>
        <w:kinsoku/>
        <w:wordWrap/>
        <w:overflowPunct/>
        <w:topLinePunct w:val="0"/>
        <w:autoSpaceDE/>
        <w:autoSpaceDN/>
        <w:bidi w:val="0"/>
        <w:adjustRightInd/>
        <w:snapToGrid/>
        <w:spacing w:line="420" w:lineRule="exact"/>
        <w:ind w:firstLine="468" w:firstLineChars="195"/>
        <w:jc w:val="righ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宁波阳明拍卖有限公司</w:t>
      </w:r>
    </w:p>
    <w:p w14:paraId="0A6C583F">
      <w:pPr>
        <w:keepNext w:val="0"/>
        <w:keepLines w:val="0"/>
        <w:pageBreakBefore w:val="0"/>
        <w:widowControl w:val="0"/>
        <w:kinsoku/>
        <w:wordWrap/>
        <w:overflowPunct/>
        <w:topLinePunct w:val="0"/>
        <w:autoSpaceDE/>
        <w:autoSpaceDN/>
        <w:bidi w:val="0"/>
        <w:adjustRightInd/>
        <w:snapToGrid/>
        <w:spacing w:line="420" w:lineRule="exact"/>
        <w:ind w:firstLine="468" w:firstLineChars="195"/>
        <w:jc w:val="righ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2024</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25</w:t>
      </w:r>
      <w:r>
        <w:rPr>
          <w:rFonts w:hint="eastAsia" w:ascii="宋体" w:hAnsi="宋体" w:cs="宋体"/>
          <w:color w:val="000000" w:themeColor="text1"/>
          <w:kern w:val="0"/>
          <w:sz w:val="24"/>
          <w14:textFill>
            <w14:solidFill>
              <w14:schemeClr w14:val="tx1"/>
            </w14:solidFill>
          </w14:textFill>
        </w:rPr>
        <w:t>日</w:t>
      </w:r>
    </w:p>
    <w:p w14:paraId="5568EDF9">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0282A04A">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4DFCA725">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42B96B44">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3977F5A6">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0B1F9EC5">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57DAC3F1">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附件：《房屋买卖合同（样本）》</w:t>
      </w:r>
    </w:p>
    <w:p w14:paraId="3018BF68">
      <w:pPr>
        <w:keepNext w:val="0"/>
        <w:keepLines w:val="0"/>
        <w:pageBreakBefore w:val="0"/>
        <w:widowControl w:val="0"/>
        <w:kinsoku/>
        <w:wordWrap/>
        <w:overflowPunct/>
        <w:topLinePunct w:val="0"/>
        <w:autoSpaceDE/>
        <w:autoSpaceDN/>
        <w:bidi w:val="0"/>
        <w:adjustRightInd/>
        <w:snapToGrid/>
        <w:spacing w:line="460" w:lineRule="exact"/>
        <w:ind w:firstLine="468" w:firstLineChars="195"/>
        <w:jc w:val="left"/>
        <w:textAlignment w:val="auto"/>
        <w:rPr>
          <w:rFonts w:hint="eastAsia" w:ascii="宋体" w:hAnsi="宋体" w:cs="宋体"/>
          <w:color w:val="000000" w:themeColor="text1"/>
          <w:kern w:val="0"/>
          <w:sz w:val="24"/>
          <w:lang w:val="en-US" w:eastAsia="zh-CN"/>
          <w14:textFill>
            <w14:solidFill>
              <w14:schemeClr w14:val="tx1"/>
            </w14:solidFill>
          </w14:textFill>
        </w:rPr>
      </w:pPr>
    </w:p>
    <w:p w14:paraId="3E05B4A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cs="宋体"/>
          <w:color w:val="000000" w:themeColor="text1"/>
          <w:kern w:val="0"/>
          <w:sz w:val="24"/>
          <w:lang w:val="en-US" w:eastAsia="zh-CN"/>
          <w14:textFill>
            <w14:solidFill>
              <w14:schemeClr w14:val="tx1"/>
            </w14:solidFill>
          </w14:textFill>
        </w:rPr>
      </w:pPr>
    </w:p>
    <w:p w14:paraId="329AD2B4">
      <w:pPr>
        <w:pStyle w:val="7"/>
        <w:jc w:val="center"/>
        <w:rPr>
          <w:rFonts w:ascii="楷体" w:hAnsi="楷体" w:eastAsia="楷体"/>
          <w:b/>
          <w:bCs/>
          <w:sz w:val="44"/>
          <w:szCs w:val="44"/>
        </w:rPr>
      </w:pPr>
      <w:r>
        <w:rPr>
          <w:rFonts w:hint="eastAsia" w:ascii="楷体" w:hAnsi="楷体" w:eastAsia="楷体"/>
          <w:b/>
          <w:bCs/>
          <w:sz w:val="44"/>
          <w:szCs w:val="44"/>
        </w:rPr>
        <w:t>房屋买卖合同（样本）</w:t>
      </w:r>
    </w:p>
    <w:p w14:paraId="6CBDB74B">
      <w:pPr>
        <w:pStyle w:val="7"/>
        <w:keepNext w:val="0"/>
        <w:keepLines w:val="0"/>
        <w:pageBreakBefore w:val="0"/>
        <w:kinsoku/>
        <w:wordWrap/>
        <w:overflowPunct/>
        <w:topLinePunct w:val="0"/>
        <w:autoSpaceDE/>
        <w:autoSpaceDN/>
        <w:bidi w:val="0"/>
        <w:adjustRightInd/>
        <w:snapToGrid/>
        <w:spacing w:before="156" w:beforeLines="50" w:line="420" w:lineRule="exact"/>
        <w:textAlignment w:val="auto"/>
        <w:rPr>
          <w:rFonts w:hint="eastAsia" w:ascii="楷体" w:hAnsi="楷体" w:eastAsia="楷体"/>
          <w:sz w:val="28"/>
          <w:szCs w:val="28"/>
        </w:rPr>
      </w:pPr>
      <w:r>
        <w:rPr>
          <w:rFonts w:hint="eastAsia" w:ascii="楷体" w:hAnsi="楷体" w:eastAsia="楷体"/>
          <w:sz w:val="28"/>
          <w:szCs w:val="28"/>
          <w:lang w:eastAsia="zh-CN"/>
        </w:rPr>
        <w:t>转</w:t>
      </w:r>
      <w:r>
        <w:rPr>
          <w:rFonts w:hint="eastAsia" w:ascii="楷体" w:hAnsi="楷体" w:eastAsia="楷体"/>
          <w:sz w:val="28"/>
          <w:szCs w:val="28"/>
        </w:rPr>
        <w:t>让人：</w:t>
      </w:r>
      <w:r>
        <w:rPr>
          <w:rFonts w:hint="eastAsia" w:ascii="楷体" w:hAnsi="楷体" w:eastAsia="楷体" w:cs="Times New Roman"/>
          <w:kern w:val="2"/>
          <w:sz w:val="28"/>
          <w:szCs w:val="28"/>
          <w:lang w:val="en-US" w:eastAsia="zh-CN" w:bidi="ar-SA"/>
        </w:rPr>
        <w:t xml:space="preserve">浙江余姚工业园区开发建设投资有限公司 </w:t>
      </w:r>
      <w:r>
        <w:rPr>
          <w:rFonts w:hint="eastAsia" w:ascii="楷体" w:hAnsi="楷体" w:eastAsia="楷体"/>
          <w:sz w:val="28"/>
          <w:szCs w:val="28"/>
        </w:rPr>
        <w:t>（以下简称</w:t>
      </w:r>
      <w:r>
        <w:rPr>
          <w:rFonts w:hint="eastAsia" w:ascii="楷体" w:hAnsi="楷体" w:eastAsia="楷体"/>
          <w:sz w:val="28"/>
          <w:szCs w:val="28"/>
          <w:lang w:eastAsia="zh-CN"/>
        </w:rPr>
        <w:t>“</w:t>
      </w:r>
      <w:r>
        <w:rPr>
          <w:rFonts w:hint="eastAsia" w:ascii="楷体" w:hAnsi="楷体" w:eastAsia="楷体"/>
          <w:sz w:val="28"/>
          <w:szCs w:val="28"/>
        </w:rPr>
        <w:t>甲方</w:t>
      </w:r>
      <w:r>
        <w:rPr>
          <w:rFonts w:hint="eastAsia" w:ascii="楷体" w:hAnsi="楷体" w:eastAsia="楷体"/>
          <w:sz w:val="28"/>
          <w:szCs w:val="28"/>
          <w:lang w:eastAsia="zh-CN"/>
        </w:rPr>
        <w:t>”</w:t>
      </w:r>
      <w:r>
        <w:rPr>
          <w:rFonts w:hint="eastAsia" w:ascii="楷体" w:hAnsi="楷体" w:eastAsia="楷体"/>
          <w:sz w:val="28"/>
          <w:szCs w:val="28"/>
        </w:rPr>
        <w:t>）</w:t>
      </w:r>
    </w:p>
    <w:p w14:paraId="2BCBDFC2">
      <w:pPr>
        <w:pStyle w:val="7"/>
        <w:keepNext w:val="0"/>
        <w:keepLines w:val="0"/>
        <w:pageBreakBefore w:val="0"/>
        <w:kinsoku/>
        <w:wordWrap/>
        <w:overflowPunct/>
        <w:topLinePunct w:val="0"/>
        <w:autoSpaceDE/>
        <w:autoSpaceDN/>
        <w:bidi w:val="0"/>
        <w:adjustRightInd/>
        <w:snapToGrid/>
        <w:spacing w:before="156" w:beforeLines="50" w:line="420" w:lineRule="exact"/>
        <w:textAlignment w:val="auto"/>
        <w:rPr>
          <w:rFonts w:hint="eastAsia" w:ascii="楷体" w:hAnsi="楷体" w:eastAsia="楷体"/>
          <w:sz w:val="28"/>
          <w:szCs w:val="28"/>
        </w:rPr>
      </w:pPr>
      <w:r>
        <w:rPr>
          <w:rFonts w:hint="eastAsia" w:ascii="楷体" w:hAnsi="楷体" w:eastAsia="楷体"/>
          <w:sz w:val="28"/>
          <w:szCs w:val="28"/>
        </w:rPr>
        <w:t xml:space="preserve">受让人:                                  </w:t>
      </w:r>
      <w:r>
        <w:rPr>
          <w:rFonts w:hint="eastAsia" w:ascii="楷体" w:hAnsi="楷体" w:eastAsia="楷体"/>
          <w:sz w:val="28"/>
          <w:szCs w:val="28"/>
          <w:lang w:val="en-US" w:eastAsia="zh-CN"/>
        </w:rPr>
        <w:t xml:space="preserve">   </w:t>
      </w:r>
      <w:r>
        <w:rPr>
          <w:rFonts w:hint="eastAsia" w:ascii="楷体" w:hAnsi="楷体" w:eastAsia="楷体"/>
          <w:sz w:val="28"/>
          <w:szCs w:val="28"/>
        </w:rPr>
        <w:t>（以下简称</w:t>
      </w:r>
      <w:r>
        <w:rPr>
          <w:rFonts w:hint="eastAsia" w:ascii="楷体" w:hAnsi="楷体" w:eastAsia="楷体"/>
          <w:sz w:val="28"/>
          <w:szCs w:val="28"/>
          <w:lang w:eastAsia="zh-CN"/>
        </w:rPr>
        <w:t>“</w:t>
      </w:r>
      <w:r>
        <w:rPr>
          <w:rFonts w:hint="eastAsia" w:ascii="楷体" w:hAnsi="楷体" w:eastAsia="楷体"/>
          <w:sz w:val="28"/>
          <w:szCs w:val="28"/>
        </w:rPr>
        <w:t>乙方</w:t>
      </w:r>
      <w:r>
        <w:rPr>
          <w:rFonts w:hint="eastAsia" w:ascii="楷体" w:hAnsi="楷体" w:eastAsia="楷体"/>
          <w:sz w:val="28"/>
          <w:szCs w:val="28"/>
          <w:lang w:eastAsia="zh-CN"/>
        </w:rPr>
        <w:t>”</w:t>
      </w:r>
      <w:r>
        <w:rPr>
          <w:rFonts w:hint="eastAsia" w:ascii="楷体" w:hAnsi="楷体" w:eastAsia="楷体"/>
          <w:sz w:val="28"/>
          <w:szCs w:val="28"/>
        </w:rPr>
        <w:t>）</w:t>
      </w:r>
    </w:p>
    <w:p w14:paraId="124BB7E8">
      <w:pPr>
        <w:pStyle w:val="7"/>
        <w:keepNext w:val="0"/>
        <w:keepLines w:val="0"/>
        <w:pageBreakBefore w:val="0"/>
        <w:widowControl/>
        <w:kinsoku/>
        <w:wordWrap/>
        <w:overflowPunct/>
        <w:topLinePunct w:val="0"/>
        <w:autoSpaceDE/>
        <w:autoSpaceDN/>
        <w:bidi w:val="0"/>
        <w:adjustRightInd/>
        <w:snapToGrid/>
        <w:spacing w:before="156" w:beforeLines="50" w:after="157" w:afterLines="50" w:line="420" w:lineRule="exact"/>
        <w:textAlignment w:val="auto"/>
        <w:rPr>
          <w:rFonts w:ascii="楷体" w:hAnsi="楷体" w:eastAsia="楷体"/>
          <w:sz w:val="28"/>
          <w:szCs w:val="28"/>
        </w:rPr>
      </w:pPr>
      <w:r>
        <w:rPr>
          <w:rFonts w:hint="eastAsia" w:ascii="楷体" w:hAnsi="楷体" w:eastAsia="楷体"/>
          <w:sz w:val="28"/>
          <w:szCs w:val="28"/>
        </w:rPr>
        <w:t>证件号码:</w:t>
      </w:r>
      <w:r>
        <w:rPr>
          <w:rFonts w:hint="eastAsia" w:ascii="楷体" w:hAnsi="楷体" w:eastAsia="楷体"/>
          <w:sz w:val="28"/>
          <w:szCs w:val="28"/>
          <w:lang w:val="en-US" w:eastAsia="zh-CN"/>
        </w:rPr>
        <w:t xml:space="preserve">                    </w:t>
      </w:r>
      <w:r>
        <w:rPr>
          <w:rFonts w:hint="eastAsia" w:ascii="楷体" w:hAnsi="楷体" w:eastAsia="楷体"/>
          <w:sz w:val="28"/>
          <w:szCs w:val="28"/>
        </w:rPr>
        <w:t>电话号码：</w:t>
      </w:r>
    </w:p>
    <w:p w14:paraId="5E7AA811">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乙方于</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日在余姚市政务服务中心（谭家岭东路2号）4楼开标室&lt;1&gt;举行的拍卖会上，通过公开</w:t>
      </w:r>
      <w:r>
        <w:rPr>
          <w:rFonts w:hint="eastAsia" w:ascii="楷体" w:hAnsi="楷体" w:eastAsia="楷体" w:cs="Times New Roman"/>
          <w:sz w:val="28"/>
          <w:szCs w:val="28"/>
        </w:rPr>
        <w:t>竞价，竞得</w:t>
      </w:r>
      <w:r>
        <w:rPr>
          <w:rFonts w:hint="eastAsia" w:ascii="楷体" w:hAnsi="楷体" w:eastAsia="楷体" w:cs="Times New Roman"/>
          <w:sz w:val="28"/>
          <w:szCs w:val="28"/>
          <w:u w:val="single"/>
        </w:rPr>
        <w:t>余姚市</w:t>
      </w:r>
      <w:r>
        <w:rPr>
          <w:rFonts w:hint="eastAsia" w:ascii="楷体" w:hAnsi="楷体" w:eastAsia="楷体" w:cs="Times New Roman"/>
          <w:sz w:val="28"/>
          <w:szCs w:val="28"/>
          <w:u w:val="single"/>
          <w:lang w:val="en-US" w:eastAsia="zh-CN"/>
        </w:rPr>
        <w:t>朗霞街道西墟村张伯堰44号厂房</w:t>
      </w:r>
      <w:r>
        <w:rPr>
          <w:rFonts w:hint="eastAsia" w:ascii="楷体" w:hAnsi="楷体" w:eastAsia="楷体"/>
          <w:sz w:val="28"/>
          <w:szCs w:val="28"/>
        </w:rPr>
        <w:t>，经甲乙双方协商，达成以下协议：</w:t>
      </w:r>
    </w:p>
    <w:p w14:paraId="013CFB02">
      <w:pPr>
        <w:keepNext w:val="0"/>
        <w:keepLines w:val="0"/>
        <w:pageBreakBefore w:val="0"/>
        <w:numPr>
          <w:ilvl w:val="0"/>
          <w:numId w:val="0"/>
        </w:num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562" w:firstLineChars="200"/>
        <w:jc w:val="left"/>
        <w:textAlignment w:val="auto"/>
        <w:rPr>
          <w:rFonts w:hint="eastAsia" w:ascii="楷体" w:hAnsi="楷体" w:eastAsia="楷体" w:cs="Times New Roman"/>
          <w:kern w:val="2"/>
          <w:sz w:val="28"/>
          <w:szCs w:val="28"/>
          <w:lang w:val="en-US" w:eastAsia="zh-CN" w:bidi="ar-SA"/>
        </w:rPr>
      </w:pPr>
      <w:r>
        <w:rPr>
          <w:rFonts w:hint="eastAsia" w:ascii="楷体" w:hAnsi="楷体" w:eastAsia="楷体" w:cs="Times New Roman"/>
          <w:b/>
          <w:bCs/>
          <w:sz w:val="28"/>
          <w:szCs w:val="28"/>
          <w:lang w:eastAsia="zh-CN"/>
        </w:rPr>
        <w:t>一、</w:t>
      </w:r>
      <w:r>
        <w:rPr>
          <w:rFonts w:hint="eastAsia" w:ascii="楷体" w:hAnsi="楷体" w:eastAsia="楷体" w:cs="Times New Roman"/>
          <w:b/>
          <w:bCs/>
          <w:sz w:val="28"/>
          <w:szCs w:val="28"/>
        </w:rPr>
        <w:t>转让标的：</w:t>
      </w:r>
      <w:r>
        <w:rPr>
          <w:rFonts w:hint="eastAsia" w:ascii="楷体" w:hAnsi="楷体" w:eastAsia="楷体" w:cs="Times New Roman"/>
          <w:sz w:val="28"/>
          <w:szCs w:val="28"/>
        </w:rPr>
        <w:t>余姚市</w:t>
      </w:r>
      <w:r>
        <w:rPr>
          <w:rFonts w:hint="eastAsia" w:ascii="楷体" w:hAnsi="楷体" w:eastAsia="楷体" w:cs="Times New Roman"/>
          <w:sz w:val="28"/>
          <w:szCs w:val="28"/>
          <w:lang w:val="en-US" w:eastAsia="zh-CN"/>
        </w:rPr>
        <w:t>朗霞街道西墟村张伯堰44号厂房</w:t>
      </w:r>
      <w:r>
        <w:rPr>
          <w:rFonts w:hint="eastAsia" w:ascii="楷体" w:hAnsi="楷体" w:eastAsia="楷体" w:cs="Times New Roman"/>
          <w:sz w:val="28"/>
          <w:szCs w:val="28"/>
        </w:rPr>
        <w:t>。</w:t>
      </w:r>
      <w:r>
        <w:rPr>
          <w:rFonts w:hint="eastAsia" w:ascii="楷体" w:hAnsi="楷体" w:eastAsia="楷体" w:cs="Times New Roman"/>
          <w:sz w:val="28"/>
          <w:szCs w:val="28"/>
          <w:lang w:eastAsia="zh-CN"/>
        </w:rPr>
        <w:t>权证</w:t>
      </w:r>
      <w:r>
        <w:rPr>
          <w:rFonts w:hint="eastAsia" w:ascii="楷体" w:hAnsi="楷体" w:eastAsia="楷体" w:cs="Times New Roman"/>
          <w:sz w:val="28"/>
          <w:szCs w:val="28"/>
        </w:rPr>
        <w:t>编号：</w:t>
      </w:r>
      <w:r>
        <w:rPr>
          <w:rFonts w:hint="eastAsia" w:ascii="楷体" w:hAnsi="楷体" w:eastAsia="楷体"/>
          <w:sz w:val="28"/>
          <w:szCs w:val="28"/>
          <w:u w:val="single"/>
          <w:lang w:val="en-US" w:eastAsia="zh-CN"/>
        </w:rPr>
        <w:t>浙</w:t>
      </w:r>
      <w:r>
        <w:rPr>
          <w:rFonts w:hint="eastAsia" w:ascii="楷体" w:hAnsi="楷体" w:eastAsia="楷体"/>
          <w:sz w:val="28"/>
          <w:szCs w:val="28"/>
          <w:u w:val="none"/>
          <w:lang w:val="en-US" w:eastAsia="zh-CN"/>
        </w:rPr>
        <w:t>（2023）</w:t>
      </w:r>
      <w:r>
        <w:rPr>
          <w:rFonts w:hint="eastAsia" w:ascii="楷体" w:hAnsi="楷体" w:eastAsia="楷体"/>
          <w:sz w:val="28"/>
          <w:szCs w:val="28"/>
          <w:u w:val="single"/>
          <w:lang w:val="en-US" w:eastAsia="zh-CN"/>
        </w:rPr>
        <w:t>余姚市</w:t>
      </w:r>
      <w:r>
        <w:rPr>
          <w:rFonts w:hint="eastAsia" w:ascii="楷体" w:hAnsi="楷体" w:eastAsia="楷体"/>
          <w:sz w:val="28"/>
          <w:szCs w:val="28"/>
          <w:u w:val="none"/>
          <w:lang w:val="en-US" w:eastAsia="zh-CN"/>
        </w:rPr>
        <w:t>不动产权</w:t>
      </w:r>
      <w:r>
        <w:rPr>
          <w:rFonts w:hint="eastAsia" w:ascii="楷体" w:hAnsi="楷体" w:eastAsia="楷体"/>
          <w:sz w:val="28"/>
          <w:szCs w:val="28"/>
          <w:u w:val="single"/>
          <w:lang w:val="en-US" w:eastAsia="zh-CN"/>
        </w:rPr>
        <w:t>第0029324号</w:t>
      </w:r>
      <w:r>
        <w:rPr>
          <w:rFonts w:hint="eastAsia" w:ascii="楷体" w:hAnsi="楷体" w:eastAsia="楷体"/>
          <w:sz w:val="28"/>
          <w:szCs w:val="28"/>
        </w:rPr>
        <w:t>，</w:t>
      </w:r>
      <w:r>
        <w:rPr>
          <w:rFonts w:hint="eastAsia" w:ascii="楷体" w:hAnsi="楷体" w:eastAsia="楷体"/>
          <w:sz w:val="28"/>
          <w:szCs w:val="28"/>
          <w:lang w:val="en-US" w:eastAsia="zh-CN"/>
        </w:rPr>
        <w:t>房屋</w:t>
      </w:r>
      <w:r>
        <w:rPr>
          <w:rFonts w:hint="eastAsia" w:ascii="楷体" w:hAnsi="楷体" w:eastAsia="楷体"/>
          <w:sz w:val="28"/>
          <w:szCs w:val="28"/>
        </w:rPr>
        <w:t>建筑面积：</w:t>
      </w:r>
      <w:r>
        <w:rPr>
          <w:rFonts w:hint="eastAsia" w:ascii="楷体" w:hAnsi="楷体" w:eastAsia="楷体"/>
          <w:sz w:val="28"/>
          <w:szCs w:val="28"/>
          <w:u w:val="single"/>
          <w:lang w:val="en-US" w:eastAsia="zh-CN"/>
        </w:rPr>
        <w:t>1136.59</w:t>
      </w:r>
      <w:r>
        <w:rPr>
          <w:rFonts w:hint="eastAsia" w:ascii="楷体" w:hAnsi="楷体" w:eastAsia="楷体"/>
          <w:sz w:val="28"/>
          <w:szCs w:val="28"/>
        </w:rPr>
        <w:t>平方米；土地</w:t>
      </w:r>
      <w:r>
        <w:rPr>
          <w:rFonts w:hint="eastAsia" w:ascii="楷体" w:hAnsi="楷体" w:eastAsia="楷体"/>
          <w:sz w:val="28"/>
          <w:szCs w:val="28"/>
          <w:lang w:val="en-US" w:eastAsia="zh-CN"/>
        </w:rPr>
        <w:t>使用</w:t>
      </w:r>
      <w:r>
        <w:rPr>
          <w:rFonts w:hint="eastAsia" w:ascii="楷体" w:hAnsi="楷体" w:eastAsia="楷体"/>
          <w:sz w:val="28"/>
          <w:szCs w:val="28"/>
        </w:rPr>
        <w:t>面积：</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4144.6</w:t>
      </w:r>
      <w:r>
        <w:rPr>
          <w:rFonts w:hint="eastAsia" w:ascii="楷体" w:hAnsi="楷体" w:eastAsia="楷体"/>
          <w:sz w:val="28"/>
          <w:szCs w:val="28"/>
        </w:rPr>
        <w:t>平方米；用途：</w:t>
      </w:r>
      <w:r>
        <w:rPr>
          <w:rFonts w:hint="eastAsia" w:ascii="楷体" w:hAnsi="楷体" w:eastAsia="楷体"/>
          <w:sz w:val="28"/>
          <w:szCs w:val="28"/>
          <w:u w:val="single"/>
          <w:lang w:val="en-US" w:eastAsia="zh-CN"/>
        </w:rPr>
        <w:t>工业/工业用地</w:t>
      </w:r>
      <w:r>
        <w:rPr>
          <w:rFonts w:ascii="楷体" w:hAnsi="楷体" w:eastAsia="楷体"/>
          <w:sz w:val="28"/>
          <w:szCs w:val="28"/>
          <w:u w:val="single"/>
        </w:rPr>
        <w:t xml:space="preserve"> </w:t>
      </w:r>
      <w:r>
        <w:rPr>
          <w:rFonts w:hint="eastAsia" w:ascii="楷体" w:hAnsi="楷体" w:eastAsia="楷体"/>
          <w:sz w:val="28"/>
          <w:szCs w:val="28"/>
          <w:lang w:eastAsia="zh-CN"/>
        </w:rPr>
        <w:t>；</w:t>
      </w:r>
      <w:r>
        <w:rPr>
          <w:rFonts w:hint="eastAsia" w:ascii="楷体" w:hAnsi="楷体" w:eastAsia="楷体" w:cs="Times New Roman"/>
          <w:sz w:val="28"/>
          <w:szCs w:val="28"/>
          <w:lang w:eastAsia="zh-CN"/>
        </w:rPr>
        <w:t>土地使用</w:t>
      </w:r>
      <w:r>
        <w:rPr>
          <w:rFonts w:hint="eastAsia" w:ascii="楷体" w:hAnsi="楷体" w:eastAsia="楷体" w:cs="Times New Roman"/>
          <w:sz w:val="28"/>
          <w:szCs w:val="28"/>
          <w:lang w:val="en-US" w:eastAsia="zh-CN"/>
        </w:rPr>
        <w:t>期</w:t>
      </w:r>
      <w:r>
        <w:rPr>
          <w:rFonts w:hint="eastAsia" w:ascii="楷体" w:hAnsi="楷体" w:eastAsia="楷体" w:cs="Times New Roman"/>
          <w:sz w:val="28"/>
          <w:szCs w:val="28"/>
          <w:lang w:eastAsia="zh-CN"/>
        </w:rPr>
        <w:t>限</w:t>
      </w:r>
      <w:r>
        <w:rPr>
          <w:rFonts w:hint="eastAsia" w:ascii="楷体" w:hAnsi="楷体" w:eastAsia="楷体" w:cs="Times New Roman"/>
          <w:kern w:val="2"/>
          <w:sz w:val="28"/>
          <w:szCs w:val="28"/>
          <w:lang w:val="en-US" w:eastAsia="zh-CN" w:bidi="ar-SA"/>
        </w:rPr>
        <w:t>：2046年12月2日；权利性质：出让；现状：承租中。</w:t>
      </w:r>
    </w:p>
    <w:p w14:paraId="18E56FC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eastAsia="zh-CN"/>
        </w:rPr>
      </w:pPr>
      <w:r>
        <w:rPr>
          <w:rFonts w:hint="eastAsia" w:ascii="楷体" w:hAnsi="楷体" w:eastAsia="楷体" w:cs="Times New Roman"/>
          <w:sz w:val="28"/>
          <w:szCs w:val="28"/>
          <w:lang w:val="en-US" w:eastAsia="zh-CN"/>
        </w:rPr>
        <w:t>注：（一）原租赁合同到期日：2025年5月31日，合同到期前所有租金收益归甲方所有。</w:t>
      </w:r>
      <w:r>
        <w:rPr>
          <w:rFonts w:hint="eastAsia" w:ascii="楷体" w:hAnsi="楷体" w:eastAsia="楷体" w:cs="Times New Roman"/>
          <w:sz w:val="28"/>
          <w:szCs w:val="28"/>
          <w:lang w:eastAsia="zh-CN"/>
        </w:rPr>
        <w:t>根据经营需要，标的内可移动设施设备由</w:t>
      </w:r>
      <w:r>
        <w:rPr>
          <w:rFonts w:hint="eastAsia" w:ascii="楷体" w:hAnsi="楷体" w:eastAsia="楷体" w:cs="Times New Roman"/>
          <w:sz w:val="28"/>
          <w:szCs w:val="28"/>
          <w:lang w:val="en-US" w:eastAsia="zh-CN"/>
        </w:rPr>
        <w:t>原</w:t>
      </w:r>
      <w:r>
        <w:rPr>
          <w:rFonts w:hint="eastAsia" w:ascii="楷体" w:hAnsi="楷体" w:eastAsia="楷体" w:cs="Times New Roman"/>
          <w:sz w:val="28"/>
          <w:szCs w:val="28"/>
          <w:lang w:eastAsia="zh-CN"/>
        </w:rPr>
        <w:t>承租人投入，归原承租人所有，不属于本次</w:t>
      </w:r>
      <w:r>
        <w:rPr>
          <w:rFonts w:hint="eastAsia" w:ascii="楷体" w:hAnsi="楷体" w:eastAsia="楷体" w:cs="Times New Roman"/>
          <w:sz w:val="28"/>
          <w:szCs w:val="28"/>
          <w:lang w:val="en-US" w:eastAsia="zh-CN"/>
        </w:rPr>
        <w:t>转让</w:t>
      </w:r>
      <w:r>
        <w:rPr>
          <w:rFonts w:hint="eastAsia" w:ascii="楷体" w:hAnsi="楷体" w:eastAsia="楷体" w:cs="Times New Roman"/>
          <w:sz w:val="28"/>
          <w:szCs w:val="28"/>
          <w:lang w:eastAsia="zh-CN"/>
        </w:rPr>
        <w:t>范围</w:t>
      </w:r>
      <w:r>
        <w:rPr>
          <w:rFonts w:hint="eastAsia" w:ascii="楷体" w:hAnsi="楷体" w:eastAsia="楷体" w:cs="Times New Roman"/>
          <w:sz w:val="28"/>
          <w:szCs w:val="28"/>
          <w:lang w:val="en-US" w:eastAsia="zh-CN"/>
        </w:rPr>
        <w:t>；另标的配套变压器（10KV后陶T864线)，亦不属于本次转让范围。</w:t>
      </w:r>
    </w:p>
    <w:p w14:paraId="028A643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转让标的为二手工业房地产。</w:t>
      </w:r>
    </w:p>
    <w:p w14:paraId="7AF17762">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560" w:firstLineChars="200"/>
        <w:textAlignment w:val="auto"/>
        <w:rPr>
          <w:rFonts w:hint="default" w:ascii="宋体" w:hAnsi="宋体" w:eastAsia="宋体" w:cs="Arial"/>
          <w:color w:val="000000"/>
          <w:kern w:val="0"/>
          <w:sz w:val="24"/>
          <w:szCs w:val="24"/>
          <w:highlight w:val="green"/>
          <w:lang w:val="en-US" w:eastAsia="zh-CN" w:bidi="ar-SA"/>
        </w:rPr>
      </w:pPr>
      <w:r>
        <w:rPr>
          <w:rFonts w:hint="eastAsia" w:ascii="楷体" w:hAnsi="楷体" w:eastAsia="楷体" w:cs="Times New Roman"/>
          <w:sz w:val="28"/>
          <w:szCs w:val="28"/>
          <w:lang w:val="en-US" w:eastAsia="zh-CN"/>
        </w:rPr>
        <w:t>（三）</w:t>
      </w:r>
      <w:r>
        <w:rPr>
          <w:rFonts w:hint="eastAsia" w:cs="Arial"/>
          <w:color w:val="000000"/>
          <w:sz w:val="24"/>
          <w:szCs w:val="24"/>
          <w:lang w:val="en-US" w:eastAsia="zh-CN"/>
        </w:rPr>
        <w:t>乙方</w:t>
      </w:r>
      <w:r>
        <w:rPr>
          <w:rFonts w:hint="eastAsia" w:eastAsia="宋体" w:cs="Arial"/>
          <w:color w:val="000000"/>
          <w:sz w:val="24"/>
          <w:szCs w:val="24"/>
          <w:lang w:val="en-US" w:eastAsia="zh-CN"/>
        </w:rPr>
        <w:t>在该地块上不得从事电镀、喷漆、化工行业等环境污染、严重噪音的经营活动。拍卖成交后，</w:t>
      </w:r>
      <w:r>
        <w:rPr>
          <w:rFonts w:hint="eastAsia" w:cs="Arial"/>
          <w:color w:val="000000"/>
          <w:sz w:val="24"/>
          <w:szCs w:val="24"/>
          <w:lang w:val="en-US" w:eastAsia="zh-CN"/>
        </w:rPr>
        <w:t>乙方</w:t>
      </w:r>
      <w:r>
        <w:rPr>
          <w:rFonts w:hint="eastAsia" w:eastAsia="宋体" w:cs="Arial"/>
          <w:color w:val="000000"/>
          <w:sz w:val="24"/>
          <w:szCs w:val="24"/>
          <w:lang w:val="en-US" w:eastAsia="zh-CN"/>
        </w:rPr>
        <w:t>需自行到相关管理部门办理符合相关政策的产业准入证明。</w:t>
      </w:r>
    </w:p>
    <w:p w14:paraId="66BC5DFE">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562" w:firstLineChars="200"/>
        <w:textAlignment w:val="auto"/>
        <w:rPr>
          <w:rFonts w:hint="eastAsia" w:ascii="楷体" w:hAnsi="楷体" w:eastAsia="楷体"/>
          <w:sz w:val="28"/>
          <w:szCs w:val="28"/>
          <w:u w:val="single"/>
        </w:rPr>
      </w:pPr>
      <w:r>
        <w:rPr>
          <w:rFonts w:hint="eastAsia" w:ascii="楷体" w:hAnsi="楷体" w:eastAsia="楷体"/>
          <w:b/>
          <w:bCs/>
          <w:sz w:val="28"/>
          <w:szCs w:val="28"/>
        </w:rPr>
        <w:t>二、转让标的价款及支付期限：</w:t>
      </w:r>
      <w:r>
        <w:rPr>
          <w:rFonts w:hint="eastAsia" w:ascii="楷体" w:hAnsi="楷体" w:eastAsia="楷体"/>
          <w:sz w:val="28"/>
          <w:szCs w:val="28"/>
        </w:rPr>
        <w:t>转让标的价款为人民币</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u w:val="single"/>
        </w:rPr>
        <w:t xml:space="preserve">  </w:t>
      </w:r>
      <w:r>
        <w:rPr>
          <w:rFonts w:hint="eastAsia" w:ascii="楷体" w:hAnsi="楷体" w:eastAsia="楷体"/>
          <w:sz w:val="28"/>
          <w:szCs w:val="28"/>
        </w:rPr>
        <w:t>元  大写</w:t>
      </w:r>
      <w:r>
        <w:rPr>
          <w:rFonts w:hint="eastAsia" w:ascii="楷体" w:hAnsi="楷体" w:eastAsia="楷体"/>
          <w:sz w:val="28"/>
          <w:szCs w:val="28"/>
          <w:u w:val="single"/>
        </w:rPr>
        <w:t xml:space="preserve">      </w:t>
      </w:r>
      <w:r>
        <w:rPr>
          <w:rFonts w:hint="eastAsia" w:ascii="楷体" w:hAnsi="楷体" w:eastAsia="楷体"/>
          <w:sz w:val="28"/>
          <w:szCs w:val="28"/>
        </w:rPr>
        <w:t xml:space="preserve"> 。乙方已在 </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 xml:space="preserve">月 </w:t>
      </w:r>
      <w:r>
        <w:rPr>
          <w:rFonts w:hint="eastAsia" w:ascii="楷体" w:hAnsi="楷体" w:eastAsia="楷体"/>
          <w:sz w:val="28"/>
          <w:szCs w:val="28"/>
          <w:u w:val="single"/>
        </w:rPr>
        <w:t xml:space="preserve">  </w:t>
      </w:r>
      <w:r>
        <w:rPr>
          <w:rFonts w:hint="eastAsia" w:ascii="楷体" w:hAnsi="楷体" w:eastAsia="楷体"/>
          <w:sz w:val="28"/>
          <w:szCs w:val="28"/>
        </w:rPr>
        <w:t>日下午</w:t>
      </w:r>
      <w:r>
        <w:rPr>
          <w:rFonts w:hint="eastAsia" w:ascii="楷体" w:hAnsi="楷体" w:eastAsia="楷体"/>
          <w:sz w:val="28"/>
          <w:szCs w:val="28"/>
          <w:u w:val="single"/>
        </w:rPr>
        <w:t xml:space="preserve">   </w:t>
      </w:r>
      <w:r>
        <w:rPr>
          <w:rFonts w:hint="eastAsia" w:ascii="楷体" w:hAnsi="楷体" w:eastAsia="楷体"/>
          <w:sz w:val="28"/>
          <w:szCs w:val="28"/>
        </w:rPr>
        <w:t>时前向甲方一次性付清全部成交款。</w:t>
      </w:r>
    </w:p>
    <w:p w14:paraId="77686048">
      <w:pPr>
        <w:keepNext w:val="0"/>
        <w:keepLines w:val="0"/>
        <w:pageBreakBefore w:val="0"/>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600"/>
        <w:textAlignment w:val="auto"/>
        <w:rPr>
          <w:rFonts w:ascii="楷体" w:hAnsi="楷体" w:eastAsia="楷体"/>
          <w:sz w:val="28"/>
          <w:szCs w:val="28"/>
        </w:rPr>
      </w:pPr>
      <w:r>
        <w:rPr>
          <w:rFonts w:hint="eastAsia" w:ascii="楷体" w:hAnsi="楷体" w:eastAsia="楷体"/>
          <w:b/>
          <w:bCs/>
          <w:sz w:val="28"/>
          <w:szCs w:val="28"/>
        </w:rPr>
        <w:t>三、标的及权证交付：</w:t>
      </w:r>
    </w:p>
    <w:p w14:paraId="5103BFCA">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560" w:firstLineChars="200"/>
        <w:textAlignment w:val="auto"/>
        <w:rPr>
          <w:rFonts w:hint="default" w:ascii="楷体" w:hAnsi="楷体" w:eastAsia="楷体" w:cs="Times New Roman"/>
          <w:sz w:val="28"/>
          <w:szCs w:val="28"/>
          <w:lang w:val="en-US" w:eastAsia="zh-CN"/>
        </w:rPr>
      </w:pPr>
      <w:r>
        <w:rPr>
          <w:rFonts w:hint="eastAsia" w:ascii="楷体" w:hAnsi="楷体" w:eastAsia="楷体" w:cs="Times New Roman"/>
          <w:sz w:val="28"/>
          <w:szCs w:val="28"/>
          <w:lang w:eastAsia="zh-CN"/>
        </w:rPr>
        <w:t>（</w:t>
      </w:r>
      <w:r>
        <w:rPr>
          <w:rFonts w:hint="eastAsia" w:ascii="楷体" w:hAnsi="楷体" w:eastAsia="楷体" w:cs="Times New Roman"/>
          <w:sz w:val="28"/>
          <w:szCs w:val="28"/>
          <w:lang w:val="en-US" w:eastAsia="zh-CN"/>
        </w:rPr>
        <w:t>一）</w:t>
      </w:r>
      <w:r>
        <w:rPr>
          <w:rFonts w:hint="eastAsia" w:ascii="楷体" w:hAnsi="楷体" w:eastAsia="楷体" w:cs="Times New Roman"/>
          <w:sz w:val="28"/>
          <w:szCs w:val="28"/>
        </w:rPr>
        <w:t>权属交付：</w:t>
      </w:r>
      <w:r>
        <w:rPr>
          <w:rFonts w:hint="eastAsia" w:ascii="楷体" w:hAnsi="楷体" w:eastAsia="楷体" w:cs="Times New Roman"/>
          <w:sz w:val="28"/>
          <w:szCs w:val="28"/>
          <w:lang w:val="en-US" w:eastAsia="zh-CN"/>
        </w:rPr>
        <w:t>2024年10月9日前完成权证过户手续；</w:t>
      </w:r>
    </w:p>
    <w:p w14:paraId="76440626">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560" w:firstLineChars="200"/>
        <w:textAlignment w:val="auto"/>
        <w:rPr>
          <w:rFonts w:hint="eastAsia" w:ascii="楷体" w:hAnsi="楷体" w:eastAsia="楷体" w:cs="Times New Roman"/>
          <w:sz w:val="28"/>
          <w:szCs w:val="28"/>
        </w:rPr>
      </w:pPr>
      <w:r>
        <w:rPr>
          <w:rFonts w:hint="eastAsia" w:ascii="楷体" w:hAnsi="楷体" w:eastAsia="楷体" w:cs="Times New Roman"/>
          <w:sz w:val="28"/>
          <w:szCs w:val="28"/>
          <w:lang w:eastAsia="zh-CN"/>
        </w:rPr>
        <w:t>（</w:t>
      </w:r>
      <w:r>
        <w:rPr>
          <w:rFonts w:hint="eastAsia" w:ascii="楷体" w:hAnsi="楷体" w:eastAsia="楷体" w:cs="Times New Roman"/>
          <w:sz w:val="28"/>
          <w:szCs w:val="28"/>
          <w:lang w:val="en-US" w:eastAsia="zh-CN"/>
        </w:rPr>
        <w:t>二）</w:t>
      </w:r>
      <w:r>
        <w:rPr>
          <w:rFonts w:hint="eastAsia" w:ascii="楷体" w:hAnsi="楷体" w:eastAsia="楷体" w:cs="Times New Roman"/>
          <w:sz w:val="28"/>
          <w:szCs w:val="28"/>
        </w:rPr>
        <w:t xml:space="preserve">实物交付： </w:t>
      </w:r>
      <w:r>
        <w:rPr>
          <w:rFonts w:hint="eastAsia" w:ascii="楷体" w:hAnsi="楷体" w:eastAsia="楷体" w:cs="Times New Roman"/>
          <w:sz w:val="28"/>
          <w:szCs w:val="28"/>
          <w:lang w:val="en-US" w:eastAsia="zh-CN"/>
        </w:rPr>
        <w:t>2025</w:t>
      </w:r>
      <w:r>
        <w:rPr>
          <w:rFonts w:hint="eastAsia" w:ascii="楷体" w:hAnsi="楷体" w:eastAsia="楷体" w:cs="Times New Roman"/>
          <w:sz w:val="28"/>
          <w:szCs w:val="28"/>
        </w:rPr>
        <w:t>年</w:t>
      </w:r>
      <w:r>
        <w:rPr>
          <w:rFonts w:hint="eastAsia" w:ascii="楷体" w:hAnsi="楷体" w:eastAsia="楷体" w:cs="Times New Roman"/>
          <w:sz w:val="28"/>
          <w:szCs w:val="28"/>
          <w:lang w:val="en-US" w:eastAsia="zh-CN"/>
        </w:rPr>
        <w:t>8</w:t>
      </w:r>
      <w:r>
        <w:rPr>
          <w:rFonts w:hint="eastAsia" w:ascii="楷体" w:hAnsi="楷体" w:eastAsia="楷体" w:cs="Times New Roman"/>
          <w:sz w:val="28"/>
          <w:szCs w:val="28"/>
        </w:rPr>
        <w:t>月</w:t>
      </w:r>
      <w:r>
        <w:rPr>
          <w:rFonts w:hint="eastAsia" w:ascii="楷体" w:hAnsi="楷体" w:eastAsia="楷体" w:cs="Times New Roman"/>
          <w:sz w:val="28"/>
          <w:szCs w:val="28"/>
          <w:lang w:val="en-US" w:eastAsia="zh-CN"/>
        </w:rPr>
        <w:t>31</w:t>
      </w:r>
      <w:r>
        <w:rPr>
          <w:rFonts w:hint="eastAsia" w:ascii="楷体" w:hAnsi="楷体" w:eastAsia="楷体" w:cs="Times New Roman"/>
          <w:sz w:val="28"/>
          <w:szCs w:val="28"/>
        </w:rPr>
        <w:t>日前。</w:t>
      </w:r>
    </w:p>
    <w:p w14:paraId="28F4447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四、标的的权证登记手续由乙方为主办理，甲方予以协助，在办理权属登记时所涉及的税、费由买卖双方按税务部门规定各自承担。延期不办理过户手续（除甲方原因外）所造成的一切后果均乙方自负，与委托双方无涉。</w:t>
      </w:r>
    </w:p>
    <w:p w14:paraId="756376C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五、本次转让标的的建筑面积、土地使用权面积等数据均出自不动产登记部门核准的证载面积，拍卖成交后在办理不动产权属登记、过户时，若出现面积或其他证载事项上的差异，不影响本次拍卖成交和成交价格，成交款项也不作退补。</w:t>
      </w:r>
    </w:p>
    <w:p w14:paraId="754E1B9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六、标的交付前所发生的水、电等相关费用由甲方负责结清。</w:t>
      </w:r>
    </w:p>
    <w:p w14:paraId="2B37E3B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七、如标的存在杂物、渗水或墙面剥落、开裂、上下水管道渗漏损毁、水、气、电表报停、被拆以及门窗、锁及其他配套设施损毁等情形的，均由乙方自行解决并承担相应费用，与委托双方无涉。</w:t>
      </w:r>
    </w:p>
    <w:p w14:paraId="37FDDEB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八、乙方若要对标的进行任何的重建、改造、扩建的，乙方将独立承担全部责任，包括但不限于获取所有必要的政府批准、许可和证书，确保符合当地相关部门的规划要求、安全标准以及环保要求。</w:t>
      </w:r>
    </w:p>
    <w:p w14:paraId="6AD63C5A">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600"/>
        <w:textAlignment w:val="auto"/>
        <w:rPr>
          <w:rFonts w:hint="eastAsia" w:ascii="楷体" w:hAnsi="楷体" w:eastAsia="楷体"/>
          <w:sz w:val="28"/>
          <w:szCs w:val="28"/>
        </w:rPr>
      </w:pPr>
      <w:r>
        <w:rPr>
          <w:rFonts w:hint="eastAsia" w:ascii="楷体" w:hAnsi="楷体" w:eastAsia="楷体"/>
          <w:b/>
          <w:bCs/>
          <w:sz w:val="28"/>
          <w:szCs w:val="28"/>
          <w:lang w:val="en-US" w:eastAsia="zh-CN"/>
        </w:rPr>
        <w:t>九</w:t>
      </w:r>
      <w:r>
        <w:rPr>
          <w:rFonts w:hint="eastAsia" w:ascii="楷体" w:hAnsi="楷体" w:eastAsia="楷体"/>
          <w:b/>
          <w:bCs/>
          <w:sz w:val="28"/>
          <w:szCs w:val="28"/>
        </w:rPr>
        <w:t>、违约责任：</w:t>
      </w:r>
    </w:p>
    <w:p w14:paraId="24CDADAD">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60" w:lineRule="exact"/>
        <w:ind w:firstLine="560" w:firstLineChars="200"/>
        <w:textAlignment w:val="auto"/>
        <w:rPr>
          <w:rFonts w:hint="eastAsia" w:ascii="楷体" w:hAnsi="楷体" w:eastAsia="楷体"/>
          <w:sz w:val="28"/>
          <w:szCs w:val="28"/>
        </w:rPr>
      </w:pPr>
      <w:r>
        <w:rPr>
          <w:rFonts w:hint="eastAsia" w:ascii="楷体" w:hAnsi="楷体" w:eastAsia="楷体"/>
          <w:iCs/>
          <w:sz w:val="28"/>
          <w:szCs w:val="28"/>
          <w:lang w:eastAsia="zh-CN"/>
        </w:rPr>
        <w:t>（</w:t>
      </w:r>
      <w:r>
        <w:rPr>
          <w:rFonts w:hint="eastAsia" w:ascii="楷体" w:hAnsi="楷体" w:eastAsia="楷体"/>
          <w:iCs/>
          <w:sz w:val="28"/>
          <w:szCs w:val="28"/>
          <w:lang w:val="en-US" w:eastAsia="zh-CN"/>
        </w:rPr>
        <w:t>一）</w:t>
      </w:r>
      <w:r>
        <w:rPr>
          <w:rFonts w:hint="eastAsia" w:ascii="楷体" w:hAnsi="楷体" w:eastAsia="楷体"/>
          <w:iCs/>
          <w:sz w:val="28"/>
          <w:szCs w:val="28"/>
        </w:rPr>
        <w:t>甲方如</w:t>
      </w:r>
      <w:r>
        <w:rPr>
          <w:rFonts w:hint="eastAsia" w:ascii="楷体" w:hAnsi="楷体" w:eastAsia="楷体"/>
          <w:sz w:val="28"/>
          <w:szCs w:val="28"/>
        </w:rPr>
        <w:t>未能按期移交转让标的，每逾期一天，应按逾期未移交标的价款万分之五的比例向乙方支付违约金。</w:t>
      </w:r>
    </w:p>
    <w:p w14:paraId="68131D51">
      <w:pPr>
        <w:pStyle w:val="7"/>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lang w:val="en-US" w:eastAsia="zh-CN"/>
        </w:rPr>
        <w:t>二）</w:t>
      </w:r>
      <w:r>
        <w:rPr>
          <w:rFonts w:hint="eastAsia" w:ascii="楷体" w:hAnsi="楷体" w:eastAsia="楷体"/>
          <w:sz w:val="28"/>
          <w:szCs w:val="28"/>
        </w:rPr>
        <w:t>乙方如未能按期接收转让标的，每逾期一天，应按逾期未接收标的价款万分之五的比例向甲方支付违约金。</w:t>
      </w:r>
    </w:p>
    <w:p w14:paraId="3C5B0D5E">
      <w:pPr>
        <w:pStyle w:val="7"/>
        <w:keepNext w:val="0"/>
        <w:keepLines w:val="0"/>
        <w:pageBreakBefore w:val="0"/>
        <w:kinsoku/>
        <w:wordWrap/>
        <w:overflowPunct/>
        <w:topLinePunct w:val="0"/>
        <w:autoSpaceDE/>
        <w:autoSpaceDN/>
        <w:bidi w:val="0"/>
        <w:adjustRightInd/>
        <w:snapToGrid/>
        <w:spacing w:line="460" w:lineRule="exact"/>
        <w:ind w:firstLine="555"/>
        <w:textAlignment w:val="auto"/>
        <w:rPr>
          <w:rFonts w:hint="eastAsia" w:ascii="楷体" w:hAnsi="楷体" w:eastAsia="楷体"/>
          <w:sz w:val="28"/>
          <w:szCs w:val="28"/>
        </w:rPr>
      </w:pPr>
      <w:r>
        <w:rPr>
          <w:rFonts w:hint="eastAsia" w:ascii="楷体" w:hAnsi="楷体" w:eastAsia="楷体"/>
          <w:sz w:val="28"/>
          <w:szCs w:val="28"/>
          <w:lang w:val="en-US" w:eastAsia="zh-CN"/>
        </w:rPr>
        <w:t>十</w:t>
      </w:r>
      <w:r>
        <w:rPr>
          <w:rFonts w:hint="eastAsia" w:ascii="楷体" w:hAnsi="楷体" w:eastAsia="楷体"/>
          <w:sz w:val="28"/>
          <w:szCs w:val="28"/>
        </w:rPr>
        <w:t>、解决纠纷的方式：甲乙双方发生履约争议时，应先进行协商解决。协商不成，可依法向余姚市人民法院起诉。</w:t>
      </w:r>
    </w:p>
    <w:p w14:paraId="739BB786">
      <w:pPr>
        <w:pStyle w:val="7"/>
        <w:keepNext w:val="0"/>
        <w:keepLines w:val="0"/>
        <w:pageBreakBefore w:val="0"/>
        <w:kinsoku/>
        <w:wordWrap/>
        <w:overflowPunct/>
        <w:topLinePunct w:val="0"/>
        <w:autoSpaceDE/>
        <w:autoSpaceDN/>
        <w:bidi w:val="0"/>
        <w:adjustRightInd/>
        <w:snapToGrid/>
        <w:spacing w:line="460" w:lineRule="exact"/>
        <w:ind w:firstLine="484" w:firstLineChars="173"/>
        <w:textAlignment w:val="auto"/>
        <w:rPr>
          <w:rFonts w:hint="eastAsia" w:ascii="楷体" w:hAnsi="楷体" w:eastAsia="楷体"/>
          <w:sz w:val="28"/>
          <w:szCs w:val="28"/>
        </w:rPr>
      </w:pPr>
      <w:r>
        <w:rPr>
          <w:rFonts w:hint="eastAsia" w:ascii="楷体" w:hAnsi="楷体" w:eastAsia="楷体"/>
          <w:sz w:val="28"/>
          <w:szCs w:val="28"/>
          <w:lang w:val="en-US" w:eastAsia="zh-CN"/>
        </w:rPr>
        <w:t>十一</w:t>
      </w:r>
      <w:r>
        <w:rPr>
          <w:rFonts w:hint="eastAsia" w:ascii="楷体" w:hAnsi="楷体" w:eastAsia="楷体"/>
          <w:sz w:val="28"/>
          <w:szCs w:val="28"/>
        </w:rPr>
        <w:t>、本次房产的《拍卖公告》和《拍卖须知》是合同的组成部分。本合同经双方签字或盖章后生效。</w:t>
      </w:r>
    </w:p>
    <w:p w14:paraId="724DF785">
      <w:pPr>
        <w:pStyle w:val="7"/>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本合同正本四份，甲方执二份，乙方执二份。</w:t>
      </w:r>
    </w:p>
    <w:p w14:paraId="776A2C9B">
      <w:pPr>
        <w:pStyle w:val="7"/>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sz w:val="28"/>
          <w:szCs w:val="28"/>
        </w:rPr>
      </w:pPr>
    </w:p>
    <w:p w14:paraId="67B40946">
      <w:pPr>
        <w:pStyle w:val="7"/>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 xml:space="preserve">出让人（盖章）                 </w:t>
      </w:r>
      <w:r>
        <w:rPr>
          <w:rFonts w:ascii="楷体" w:hAnsi="楷体" w:eastAsia="楷体"/>
          <w:sz w:val="28"/>
          <w:szCs w:val="28"/>
        </w:rPr>
        <w:t xml:space="preserve"> </w:t>
      </w:r>
      <w:r>
        <w:rPr>
          <w:rFonts w:hint="eastAsia" w:ascii="楷体" w:hAnsi="楷体" w:eastAsia="楷体"/>
          <w:sz w:val="28"/>
          <w:szCs w:val="28"/>
        </w:rPr>
        <w:t>受让人：</w:t>
      </w:r>
    </w:p>
    <w:p w14:paraId="705FDEBE">
      <w:pPr>
        <w:pStyle w:val="7"/>
        <w:keepNext w:val="0"/>
        <w:keepLines w:val="0"/>
        <w:pageBreakBefore w:val="0"/>
        <w:kinsoku/>
        <w:wordWrap/>
        <w:overflowPunct/>
        <w:topLinePunct w:val="0"/>
        <w:autoSpaceDE/>
        <w:autoSpaceDN/>
        <w:bidi w:val="0"/>
        <w:adjustRightInd/>
        <w:snapToGrid/>
        <w:spacing w:line="420" w:lineRule="exact"/>
        <w:textAlignment w:val="auto"/>
        <w:rPr>
          <w:rFonts w:hint="eastAsia" w:ascii="楷体" w:hAnsi="楷体" w:eastAsia="楷体"/>
          <w:sz w:val="28"/>
          <w:szCs w:val="28"/>
        </w:rPr>
      </w:pPr>
    </w:p>
    <w:p w14:paraId="64D63097">
      <w:pPr>
        <w:pStyle w:val="7"/>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 xml:space="preserve">法定代表人：              </w:t>
      </w:r>
    </w:p>
    <w:p w14:paraId="78BCC75A">
      <w:pPr>
        <w:pStyle w:val="7"/>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 xml:space="preserve">委托代理人：                </w:t>
      </w:r>
      <w:r>
        <w:rPr>
          <w:rFonts w:ascii="楷体" w:hAnsi="楷体" w:eastAsia="楷体"/>
          <w:sz w:val="28"/>
          <w:szCs w:val="28"/>
        </w:rPr>
        <w:t xml:space="preserve"> </w:t>
      </w:r>
      <w:r>
        <w:rPr>
          <w:rFonts w:hint="eastAsia" w:ascii="楷体" w:hAnsi="楷体" w:eastAsia="楷体"/>
          <w:sz w:val="28"/>
          <w:szCs w:val="28"/>
        </w:rPr>
        <w:t>委托代理人：</w:t>
      </w:r>
    </w:p>
    <w:p w14:paraId="4A23A617">
      <w:pPr>
        <w:pStyle w:val="7"/>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地  址：</w:t>
      </w:r>
      <w:r>
        <w:rPr>
          <w:rFonts w:hint="eastAsia" w:ascii="楷体" w:hAnsi="楷体" w:eastAsia="楷体"/>
          <w:sz w:val="28"/>
          <w:szCs w:val="28"/>
          <w:lang w:val="en-US" w:eastAsia="zh-CN"/>
        </w:rPr>
        <w:t xml:space="preserve">                   </w:t>
      </w:r>
      <w:r>
        <w:rPr>
          <w:rFonts w:ascii="楷体" w:hAnsi="楷体" w:eastAsia="楷体"/>
          <w:sz w:val="28"/>
          <w:szCs w:val="28"/>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 xml:space="preserve">地  址：               </w:t>
      </w:r>
    </w:p>
    <w:p w14:paraId="68570F64">
      <w:pPr>
        <w:pStyle w:val="7"/>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 xml:space="preserve">电  话：            </w:t>
      </w:r>
      <w:r>
        <w:rPr>
          <w:rFonts w:ascii="楷体" w:hAnsi="楷体" w:eastAsia="楷体"/>
          <w:sz w:val="28"/>
          <w:szCs w:val="28"/>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电  话：</w:t>
      </w:r>
    </w:p>
    <w:p w14:paraId="09B66567">
      <w:pPr>
        <w:pStyle w:val="7"/>
        <w:keepNext w:val="0"/>
        <w:keepLines w:val="0"/>
        <w:pageBreakBefore w:val="0"/>
        <w:kinsoku/>
        <w:wordWrap/>
        <w:overflowPunct/>
        <w:topLinePunct w:val="0"/>
        <w:autoSpaceDE/>
        <w:autoSpaceDN/>
        <w:bidi w:val="0"/>
        <w:adjustRightInd/>
        <w:snapToGrid/>
        <w:spacing w:line="420" w:lineRule="exact"/>
        <w:ind w:firstLine="4480" w:firstLineChars="1600"/>
        <w:textAlignment w:val="auto"/>
        <w:rPr>
          <w:rFonts w:hint="eastAsia" w:ascii="楷体" w:hAnsi="楷体" w:eastAsia="楷体"/>
          <w:sz w:val="28"/>
          <w:szCs w:val="28"/>
        </w:rPr>
      </w:pPr>
    </w:p>
    <w:p w14:paraId="4F1AE322">
      <w:pPr>
        <w:pStyle w:val="7"/>
        <w:keepNext w:val="0"/>
        <w:keepLines w:val="0"/>
        <w:pageBreakBefore w:val="0"/>
        <w:kinsoku/>
        <w:wordWrap/>
        <w:overflowPunct/>
        <w:topLinePunct w:val="0"/>
        <w:autoSpaceDE/>
        <w:autoSpaceDN/>
        <w:bidi w:val="0"/>
        <w:adjustRightInd/>
        <w:snapToGrid/>
        <w:spacing w:line="420" w:lineRule="exact"/>
        <w:ind w:firstLine="4480" w:firstLineChars="1600"/>
        <w:textAlignment w:val="auto"/>
        <w:rPr>
          <w:rFonts w:hint="eastAsia" w:ascii="宋体" w:hAnsi="宋体" w:cs="宋体"/>
          <w:color w:val="000000" w:themeColor="text1"/>
          <w:kern w:val="0"/>
          <w:sz w:val="24"/>
          <w14:textFill>
            <w14:solidFill>
              <w14:schemeClr w14:val="tx1"/>
            </w14:solidFill>
          </w14:textFill>
        </w:rPr>
      </w:pP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w:t>
      </w:r>
      <w:bookmarkStart w:id="3" w:name="_GoBack"/>
      <w:bookmarkEnd w:id="3"/>
    </w:p>
    <w:sectPr>
      <w:headerReference r:id="rId3" w:type="default"/>
      <w:footerReference r:id="rId4" w:type="default"/>
      <w:pgSz w:w="11906" w:h="16838"/>
      <w:pgMar w:top="1559" w:right="1559" w:bottom="1559" w:left="154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F7D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3824ABD">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33824AB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673C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26CCD"/>
    <w:multiLevelType w:val="singleLevel"/>
    <w:tmpl w:val="81426C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OTAzY2QxZjEzYmRlOWVlM2UwMjU3M2YwNjllZmE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2A4D0E"/>
    <w:rsid w:val="0134185B"/>
    <w:rsid w:val="01353D0F"/>
    <w:rsid w:val="0149496F"/>
    <w:rsid w:val="01656CC4"/>
    <w:rsid w:val="018B1BF8"/>
    <w:rsid w:val="01BB0249"/>
    <w:rsid w:val="01BF6629"/>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835CF9"/>
    <w:rsid w:val="05B36BB2"/>
    <w:rsid w:val="05C432C0"/>
    <w:rsid w:val="05CA0F66"/>
    <w:rsid w:val="05CF5FA2"/>
    <w:rsid w:val="06536E19"/>
    <w:rsid w:val="069B75C0"/>
    <w:rsid w:val="06BA630B"/>
    <w:rsid w:val="06BA6D55"/>
    <w:rsid w:val="06D31875"/>
    <w:rsid w:val="06ED4932"/>
    <w:rsid w:val="07375BAD"/>
    <w:rsid w:val="073B3887"/>
    <w:rsid w:val="07693A2F"/>
    <w:rsid w:val="07872FDB"/>
    <w:rsid w:val="07E254FB"/>
    <w:rsid w:val="07ED3E6D"/>
    <w:rsid w:val="07F946C9"/>
    <w:rsid w:val="08035B97"/>
    <w:rsid w:val="08446FA0"/>
    <w:rsid w:val="0865515F"/>
    <w:rsid w:val="086D16CA"/>
    <w:rsid w:val="08C178E9"/>
    <w:rsid w:val="08D93D0B"/>
    <w:rsid w:val="091A24B2"/>
    <w:rsid w:val="09485583"/>
    <w:rsid w:val="098C7F3D"/>
    <w:rsid w:val="09FF5AD9"/>
    <w:rsid w:val="0A2F517D"/>
    <w:rsid w:val="0A4C2C72"/>
    <w:rsid w:val="0A7232C9"/>
    <w:rsid w:val="0AE04A1B"/>
    <w:rsid w:val="0AE57816"/>
    <w:rsid w:val="0B642C7A"/>
    <w:rsid w:val="0B691990"/>
    <w:rsid w:val="0C03337B"/>
    <w:rsid w:val="0C627017"/>
    <w:rsid w:val="0C965DD4"/>
    <w:rsid w:val="0DC21F49"/>
    <w:rsid w:val="0E053607"/>
    <w:rsid w:val="0E35767A"/>
    <w:rsid w:val="0E543495"/>
    <w:rsid w:val="0E5C78A3"/>
    <w:rsid w:val="0F004A9B"/>
    <w:rsid w:val="0F183170"/>
    <w:rsid w:val="0F307AB2"/>
    <w:rsid w:val="0FC73288"/>
    <w:rsid w:val="0FC91878"/>
    <w:rsid w:val="0FD4268B"/>
    <w:rsid w:val="102056F8"/>
    <w:rsid w:val="10294501"/>
    <w:rsid w:val="10620BF5"/>
    <w:rsid w:val="10861614"/>
    <w:rsid w:val="119E2974"/>
    <w:rsid w:val="11FC55B2"/>
    <w:rsid w:val="124F64F3"/>
    <w:rsid w:val="127641B7"/>
    <w:rsid w:val="1277475A"/>
    <w:rsid w:val="128F5FB8"/>
    <w:rsid w:val="129836AF"/>
    <w:rsid w:val="12A9602F"/>
    <w:rsid w:val="12BE7C7F"/>
    <w:rsid w:val="12C47381"/>
    <w:rsid w:val="13043A46"/>
    <w:rsid w:val="130A686C"/>
    <w:rsid w:val="135E2714"/>
    <w:rsid w:val="13EA7D68"/>
    <w:rsid w:val="13FF0D0B"/>
    <w:rsid w:val="1417033E"/>
    <w:rsid w:val="142B35CE"/>
    <w:rsid w:val="14C56374"/>
    <w:rsid w:val="15082937"/>
    <w:rsid w:val="150A390B"/>
    <w:rsid w:val="15273D58"/>
    <w:rsid w:val="153B46E7"/>
    <w:rsid w:val="15811B5B"/>
    <w:rsid w:val="15AE7982"/>
    <w:rsid w:val="15E07984"/>
    <w:rsid w:val="160A2881"/>
    <w:rsid w:val="163766BB"/>
    <w:rsid w:val="163D5F6B"/>
    <w:rsid w:val="166242C9"/>
    <w:rsid w:val="16CE0B7D"/>
    <w:rsid w:val="17237061"/>
    <w:rsid w:val="173F3FC6"/>
    <w:rsid w:val="175B7066"/>
    <w:rsid w:val="177E450E"/>
    <w:rsid w:val="17D45C0F"/>
    <w:rsid w:val="18133D2F"/>
    <w:rsid w:val="188D7E54"/>
    <w:rsid w:val="18CB2F80"/>
    <w:rsid w:val="18EE193B"/>
    <w:rsid w:val="19FD549D"/>
    <w:rsid w:val="1ABE298D"/>
    <w:rsid w:val="1ADD5174"/>
    <w:rsid w:val="1AE257AE"/>
    <w:rsid w:val="1B6B20A5"/>
    <w:rsid w:val="1B880CB1"/>
    <w:rsid w:val="1C256156"/>
    <w:rsid w:val="1C276622"/>
    <w:rsid w:val="1C782696"/>
    <w:rsid w:val="1C8231BE"/>
    <w:rsid w:val="1C902058"/>
    <w:rsid w:val="1D1327C1"/>
    <w:rsid w:val="1D2A5330"/>
    <w:rsid w:val="1D844366"/>
    <w:rsid w:val="1D8F06AE"/>
    <w:rsid w:val="1DC05D68"/>
    <w:rsid w:val="1DE678D0"/>
    <w:rsid w:val="1DF83E91"/>
    <w:rsid w:val="1E0400A7"/>
    <w:rsid w:val="1E6D11FC"/>
    <w:rsid w:val="1F113344"/>
    <w:rsid w:val="1F330EF8"/>
    <w:rsid w:val="1F4B7152"/>
    <w:rsid w:val="1F513CA8"/>
    <w:rsid w:val="20445990"/>
    <w:rsid w:val="205C1778"/>
    <w:rsid w:val="20892A22"/>
    <w:rsid w:val="208F7DE2"/>
    <w:rsid w:val="20A0788B"/>
    <w:rsid w:val="20D234E6"/>
    <w:rsid w:val="20DE431E"/>
    <w:rsid w:val="211025E1"/>
    <w:rsid w:val="211830D2"/>
    <w:rsid w:val="21274DA2"/>
    <w:rsid w:val="215A3AB3"/>
    <w:rsid w:val="21723F5A"/>
    <w:rsid w:val="218F764D"/>
    <w:rsid w:val="22040B58"/>
    <w:rsid w:val="222C7AB8"/>
    <w:rsid w:val="223022D3"/>
    <w:rsid w:val="22600256"/>
    <w:rsid w:val="228D71DB"/>
    <w:rsid w:val="23042370"/>
    <w:rsid w:val="236E0751"/>
    <w:rsid w:val="240A1406"/>
    <w:rsid w:val="24110CB8"/>
    <w:rsid w:val="24231CEA"/>
    <w:rsid w:val="243510D4"/>
    <w:rsid w:val="248C288A"/>
    <w:rsid w:val="24911910"/>
    <w:rsid w:val="249B0A92"/>
    <w:rsid w:val="24A759DB"/>
    <w:rsid w:val="24B6761D"/>
    <w:rsid w:val="24D16AEA"/>
    <w:rsid w:val="254250A8"/>
    <w:rsid w:val="25AF2C6D"/>
    <w:rsid w:val="25B92378"/>
    <w:rsid w:val="26307F40"/>
    <w:rsid w:val="26C40B4B"/>
    <w:rsid w:val="26FA5A34"/>
    <w:rsid w:val="27013B59"/>
    <w:rsid w:val="2757522E"/>
    <w:rsid w:val="287C188E"/>
    <w:rsid w:val="288551E7"/>
    <w:rsid w:val="289066E0"/>
    <w:rsid w:val="28CE5BC0"/>
    <w:rsid w:val="29847A81"/>
    <w:rsid w:val="29DC30C8"/>
    <w:rsid w:val="2A36061B"/>
    <w:rsid w:val="2A556978"/>
    <w:rsid w:val="2A5C55CF"/>
    <w:rsid w:val="2A737664"/>
    <w:rsid w:val="2AB7228A"/>
    <w:rsid w:val="2AF7447D"/>
    <w:rsid w:val="2B1E4C8C"/>
    <w:rsid w:val="2B2A2FD9"/>
    <w:rsid w:val="2B805BCD"/>
    <w:rsid w:val="2BBC3B7F"/>
    <w:rsid w:val="2BBF048E"/>
    <w:rsid w:val="2BD233F2"/>
    <w:rsid w:val="2BE5411B"/>
    <w:rsid w:val="2C0520D1"/>
    <w:rsid w:val="2C3C2E78"/>
    <w:rsid w:val="2C76366E"/>
    <w:rsid w:val="2C90798A"/>
    <w:rsid w:val="2CA13EC5"/>
    <w:rsid w:val="2CA724F4"/>
    <w:rsid w:val="2CAA7F15"/>
    <w:rsid w:val="2CB65C7D"/>
    <w:rsid w:val="2D1E1CE5"/>
    <w:rsid w:val="2D312440"/>
    <w:rsid w:val="2D4D7E8B"/>
    <w:rsid w:val="2D662373"/>
    <w:rsid w:val="2D721A06"/>
    <w:rsid w:val="2D76092E"/>
    <w:rsid w:val="2D786770"/>
    <w:rsid w:val="2D9301F8"/>
    <w:rsid w:val="2DC071BC"/>
    <w:rsid w:val="2DCA40C4"/>
    <w:rsid w:val="2E4722CA"/>
    <w:rsid w:val="2EE9735C"/>
    <w:rsid w:val="2F081A5A"/>
    <w:rsid w:val="2F3D6487"/>
    <w:rsid w:val="2F690A46"/>
    <w:rsid w:val="2F7012D5"/>
    <w:rsid w:val="2FA141FE"/>
    <w:rsid w:val="2FD23E16"/>
    <w:rsid w:val="2FE54984"/>
    <w:rsid w:val="30801CC3"/>
    <w:rsid w:val="30E57FFF"/>
    <w:rsid w:val="31183C37"/>
    <w:rsid w:val="31210D3C"/>
    <w:rsid w:val="315166AB"/>
    <w:rsid w:val="317B1722"/>
    <w:rsid w:val="31FB58A6"/>
    <w:rsid w:val="320B6E9B"/>
    <w:rsid w:val="323668DE"/>
    <w:rsid w:val="323D2EA7"/>
    <w:rsid w:val="32A939A4"/>
    <w:rsid w:val="32CB5278"/>
    <w:rsid w:val="32F95E0C"/>
    <w:rsid w:val="33762B44"/>
    <w:rsid w:val="33F46BC6"/>
    <w:rsid w:val="33FA5003"/>
    <w:rsid w:val="34033A51"/>
    <w:rsid w:val="34787C07"/>
    <w:rsid w:val="34D874BA"/>
    <w:rsid w:val="34EA3885"/>
    <w:rsid w:val="34F01CDA"/>
    <w:rsid w:val="34F860CC"/>
    <w:rsid w:val="34FB583F"/>
    <w:rsid w:val="3507519C"/>
    <w:rsid w:val="35301D0A"/>
    <w:rsid w:val="35661336"/>
    <w:rsid w:val="358A78ED"/>
    <w:rsid w:val="35981B85"/>
    <w:rsid w:val="35BC0135"/>
    <w:rsid w:val="35FC6014"/>
    <w:rsid w:val="35FF4782"/>
    <w:rsid w:val="36392E40"/>
    <w:rsid w:val="3647730B"/>
    <w:rsid w:val="3650258D"/>
    <w:rsid w:val="36DE12F2"/>
    <w:rsid w:val="37766767"/>
    <w:rsid w:val="37A238FB"/>
    <w:rsid w:val="38637461"/>
    <w:rsid w:val="387D5F95"/>
    <w:rsid w:val="38990AA1"/>
    <w:rsid w:val="389A18D8"/>
    <w:rsid w:val="38AF2F46"/>
    <w:rsid w:val="38FD02F4"/>
    <w:rsid w:val="390C65EA"/>
    <w:rsid w:val="39544A8A"/>
    <w:rsid w:val="396B6DD4"/>
    <w:rsid w:val="39B91003"/>
    <w:rsid w:val="39C95FD0"/>
    <w:rsid w:val="39EE7A9E"/>
    <w:rsid w:val="3A080637"/>
    <w:rsid w:val="3A257964"/>
    <w:rsid w:val="3A30455A"/>
    <w:rsid w:val="3A3D22C2"/>
    <w:rsid w:val="3A7D716C"/>
    <w:rsid w:val="3AA05B89"/>
    <w:rsid w:val="3AFD63B4"/>
    <w:rsid w:val="3B121B64"/>
    <w:rsid w:val="3B145739"/>
    <w:rsid w:val="3B8A1A7E"/>
    <w:rsid w:val="3BB42506"/>
    <w:rsid w:val="3BD57167"/>
    <w:rsid w:val="3C025A83"/>
    <w:rsid w:val="3C795D45"/>
    <w:rsid w:val="3C8E474E"/>
    <w:rsid w:val="3C992DC6"/>
    <w:rsid w:val="3C9E186E"/>
    <w:rsid w:val="3CA628B2"/>
    <w:rsid w:val="3CA72724"/>
    <w:rsid w:val="3CEA09F1"/>
    <w:rsid w:val="3D20796B"/>
    <w:rsid w:val="3D3B56D8"/>
    <w:rsid w:val="3D4134CA"/>
    <w:rsid w:val="3D604E89"/>
    <w:rsid w:val="3DD55545"/>
    <w:rsid w:val="3E482613"/>
    <w:rsid w:val="3EDF3058"/>
    <w:rsid w:val="3F19622C"/>
    <w:rsid w:val="3F253F62"/>
    <w:rsid w:val="3F4624B6"/>
    <w:rsid w:val="3F5B1E05"/>
    <w:rsid w:val="3F9B2DCE"/>
    <w:rsid w:val="3FB307B7"/>
    <w:rsid w:val="4061451C"/>
    <w:rsid w:val="407707ED"/>
    <w:rsid w:val="40AA0920"/>
    <w:rsid w:val="40D014C0"/>
    <w:rsid w:val="40F95D14"/>
    <w:rsid w:val="414C2001"/>
    <w:rsid w:val="41607C54"/>
    <w:rsid w:val="41CB00EC"/>
    <w:rsid w:val="42406517"/>
    <w:rsid w:val="424E557E"/>
    <w:rsid w:val="425D23F3"/>
    <w:rsid w:val="426D046C"/>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5CA51D7"/>
    <w:rsid w:val="461A194C"/>
    <w:rsid w:val="46394FC6"/>
    <w:rsid w:val="46D53DA4"/>
    <w:rsid w:val="46EE7A0F"/>
    <w:rsid w:val="47044DA5"/>
    <w:rsid w:val="47397E0A"/>
    <w:rsid w:val="473E1D1D"/>
    <w:rsid w:val="47473E0B"/>
    <w:rsid w:val="477F442B"/>
    <w:rsid w:val="478C1170"/>
    <w:rsid w:val="4795415F"/>
    <w:rsid w:val="47FA4464"/>
    <w:rsid w:val="480D0878"/>
    <w:rsid w:val="483B1360"/>
    <w:rsid w:val="48532419"/>
    <w:rsid w:val="48774F00"/>
    <w:rsid w:val="487B4BF3"/>
    <w:rsid w:val="48835907"/>
    <w:rsid w:val="48C33317"/>
    <w:rsid w:val="48E41870"/>
    <w:rsid w:val="492A23F4"/>
    <w:rsid w:val="49773C28"/>
    <w:rsid w:val="49B80B02"/>
    <w:rsid w:val="49DC4035"/>
    <w:rsid w:val="49DE7CC5"/>
    <w:rsid w:val="4A042255"/>
    <w:rsid w:val="4A5B7D47"/>
    <w:rsid w:val="4A6F0AD8"/>
    <w:rsid w:val="4AF11F2F"/>
    <w:rsid w:val="4B7E556C"/>
    <w:rsid w:val="4B7F5906"/>
    <w:rsid w:val="4BB00250"/>
    <w:rsid w:val="4C0213F4"/>
    <w:rsid w:val="4C4446AE"/>
    <w:rsid w:val="4C480112"/>
    <w:rsid w:val="4C6F4853"/>
    <w:rsid w:val="4C7308C9"/>
    <w:rsid w:val="4D025E83"/>
    <w:rsid w:val="4D2B4F8F"/>
    <w:rsid w:val="4D377E11"/>
    <w:rsid w:val="4D3F2693"/>
    <w:rsid w:val="4D43295F"/>
    <w:rsid w:val="4DF53F69"/>
    <w:rsid w:val="4E34602C"/>
    <w:rsid w:val="4E460AE6"/>
    <w:rsid w:val="4E505F0D"/>
    <w:rsid w:val="4E617863"/>
    <w:rsid w:val="4E6A4E77"/>
    <w:rsid w:val="4EA175B8"/>
    <w:rsid w:val="4EA417C5"/>
    <w:rsid w:val="4EC00138"/>
    <w:rsid w:val="4EC92B5C"/>
    <w:rsid w:val="4ED232B7"/>
    <w:rsid w:val="4EDD31D7"/>
    <w:rsid w:val="4F041DA9"/>
    <w:rsid w:val="4F240973"/>
    <w:rsid w:val="4F4915A7"/>
    <w:rsid w:val="4F6B75B6"/>
    <w:rsid w:val="4F827F2A"/>
    <w:rsid w:val="4FCA1762"/>
    <w:rsid w:val="4FDF015D"/>
    <w:rsid w:val="50796824"/>
    <w:rsid w:val="50871E3A"/>
    <w:rsid w:val="50AD614E"/>
    <w:rsid w:val="511812C0"/>
    <w:rsid w:val="51792864"/>
    <w:rsid w:val="520477FB"/>
    <w:rsid w:val="52082E5D"/>
    <w:rsid w:val="52D77EAA"/>
    <w:rsid w:val="52DB1578"/>
    <w:rsid w:val="52E542AB"/>
    <w:rsid w:val="5338194F"/>
    <w:rsid w:val="53413B53"/>
    <w:rsid w:val="53807425"/>
    <w:rsid w:val="53911E27"/>
    <w:rsid w:val="54394D97"/>
    <w:rsid w:val="5484681C"/>
    <w:rsid w:val="549F0513"/>
    <w:rsid w:val="54A9691F"/>
    <w:rsid w:val="54D44008"/>
    <w:rsid w:val="54D728E6"/>
    <w:rsid w:val="550324C2"/>
    <w:rsid w:val="55125AD0"/>
    <w:rsid w:val="551C0163"/>
    <w:rsid w:val="55597600"/>
    <w:rsid w:val="55F03BF8"/>
    <w:rsid w:val="560976C3"/>
    <w:rsid w:val="569A7D90"/>
    <w:rsid w:val="56CF71C3"/>
    <w:rsid w:val="574259FA"/>
    <w:rsid w:val="5746402F"/>
    <w:rsid w:val="574A06FC"/>
    <w:rsid w:val="575255F7"/>
    <w:rsid w:val="57AD7E90"/>
    <w:rsid w:val="57E1549B"/>
    <w:rsid w:val="582A20BB"/>
    <w:rsid w:val="583F530D"/>
    <w:rsid w:val="587210B0"/>
    <w:rsid w:val="58991080"/>
    <w:rsid w:val="58AD2046"/>
    <w:rsid w:val="58DE293D"/>
    <w:rsid w:val="593A4D40"/>
    <w:rsid w:val="593E5EF4"/>
    <w:rsid w:val="595C18F0"/>
    <w:rsid w:val="59891EF8"/>
    <w:rsid w:val="59BC7EEF"/>
    <w:rsid w:val="5A011185"/>
    <w:rsid w:val="5A0A27AE"/>
    <w:rsid w:val="5A513A05"/>
    <w:rsid w:val="5A8C4263"/>
    <w:rsid w:val="5AE20B01"/>
    <w:rsid w:val="5B22253E"/>
    <w:rsid w:val="5B2901E9"/>
    <w:rsid w:val="5B8D2D21"/>
    <w:rsid w:val="5B8D3EEF"/>
    <w:rsid w:val="5BA52621"/>
    <w:rsid w:val="5BFC55B0"/>
    <w:rsid w:val="5C802F74"/>
    <w:rsid w:val="5C86325F"/>
    <w:rsid w:val="5C946353"/>
    <w:rsid w:val="5CB07599"/>
    <w:rsid w:val="5CDD049B"/>
    <w:rsid w:val="5CDF2289"/>
    <w:rsid w:val="5D3C274B"/>
    <w:rsid w:val="5D4078B9"/>
    <w:rsid w:val="5D97217A"/>
    <w:rsid w:val="5DC82230"/>
    <w:rsid w:val="5DD14BE9"/>
    <w:rsid w:val="5E2B5748"/>
    <w:rsid w:val="5E8D2E0B"/>
    <w:rsid w:val="5EA93D0F"/>
    <w:rsid w:val="5EC20387"/>
    <w:rsid w:val="5ED15E66"/>
    <w:rsid w:val="5F1A6ABC"/>
    <w:rsid w:val="5F252FFA"/>
    <w:rsid w:val="5F3833E6"/>
    <w:rsid w:val="5F832C78"/>
    <w:rsid w:val="5F851ACB"/>
    <w:rsid w:val="5FD27396"/>
    <w:rsid w:val="5FD55B32"/>
    <w:rsid w:val="60822AF9"/>
    <w:rsid w:val="609A4BD3"/>
    <w:rsid w:val="60F634AE"/>
    <w:rsid w:val="611933AE"/>
    <w:rsid w:val="61471ACE"/>
    <w:rsid w:val="619B3693"/>
    <w:rsid w:val="61C31A11"/>
    <w:rsid w:val="61D0084D"/>
    <w:rsid w:val="62005EEF"/>
    <w:rsid w:val="623C1EB4"/>
    <w:rsid w:val="6250716D"/>
    <w:rsid w:val="627209BD"/>
    <w:rsid w:val="62B77C63"/>
    <w:rsid w:val="62FE3BE6"/>
    <w:rsid w:val="63050ED2"/>
    <w:rsid w:val="63FB28D4"/>
    <w:rsid w:val="64222BBB"/>
    <w:rsid w:val="64416CA0"/>
    <w:rsid w:val="64561B9C"/>
    <w:rsid w:val="648806BE"/>
    <w:rsid w:val="64AA23BC"/>
    <w:rsid w:val="64AB56B8"/>
    <w:rsid w:val="64B147DE"/>
    <w:rsid w:val="6501685F"/>
    <w:rsid w:val="6502071E"/>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413A42"/>
    <w:rsid w:val="676C1430"/>
    <w:rsid w:val="67961FC2"/>
    <w:rsid w:val="67C44D21"/>
    <w:rsid w:val="67D11A4E"/>
    <w:rsid w:val="684D52C4"/>
    <w:rsid w:val="68590ED9"/>
    <w:rsid w:val="688D6550"/>
    <w:rsid w:val="69261C83"/>
    <w:rsid w:val="69344C1E"/>
    <w:rsid w:val="695532CD"/>
    <w:rsid w:val="69931944"/>
    <w:rsid w:val="69BB1DA2"/>
    <w:rsid w:val="6A1828AA"/>
    <w:rsid w:val="6A1B0933"/>
    <w:rsid w:val="6A296884"/>
    <w:rsid w:val="6A2B0DEB"/>
    <w:rsid w:val="6A445335"/>
    <w:rsid w:val="6A846C3C"/>
    <w:rsid w:val="6A86532E"/>
    <w:rsid w:val="6A9040D6"/>
    <w:rsid w:val="6B167EAA"/>
    <w:rsid w:val="6B6141DE"/>
    <w:rsid w:val="6B787743"/>
    <w:rsid w:val="6C225202"/>
    <w:rsid w:val="6C2E7676"/>
    <w:rsid w:val="6C2F4371"/>
    <w:rsid w:val="6C760AB3"/>
    <w:rsid w:val="6C762552"/>
    <w:rsid w:val="6C7C646E"/>
    <w:rsid w:val="6CB92BD1"/>
    <w:rsid w:val="6CD161EC"/>
    <w:rsid w:val="6CDF35C4"/>
    <w:rsid w:val="6CE6200C"/>
    <w:rsid w:val="6DFC3ED2"/>
    <w:rsid w:val="6E316EA6"/>
    <w:rsid w:val="6E8C763E"/>
    <w:rsid w:val="6E923F1E"/>
    <w:rsid w:val="6EE36ECA"/>
    <w:rsid w:val="6F26070E"/>
    <w:rsid w:val="6F310485"/>
    <w:rsid w:val="6F4D795C"/>
    <w:rsid w:val="6FF40D1C"/>
    <w:rsid w:val="6FFB46E7"/>
    <w:rsid w:val="70447E3C"/>
    <w:rsid w:val="7060454A"/>
    <w:rsid w:val="70831C6D"/>
    <w:rsid w:val="70B110BD"/>
    <w:rsid w:val="70B23DE8"/>
    <w:rsid w:val="70CB47E1"/>
    <w:rsid w:val="70D015C4"/>
    <w:rsid w:val="70EC47EA"/>
    <w:rsid w:val="710A284E"/>
    <w:rsid w:val="713D058A"/>
    <w:rsid w:val="71566896"/>
    <w:rsid w:val="717711B4"/>
    <w:rsid w:val="717A3DA5"/>
    <w:rsid w:val="71A05546"/>
    <w:rsid w:val="71D00A9E"/>
    <w:rsid w:val="721B0557"/>
    <w:rsid w:val="7237504A"/>
    <w:rsid w:val="724E4FA2"/>
    <w:rsid w:val="7275065F"/>
    <w:rsid w:val="72A20E4A"/>
    <w:rsid w:val="72FD00FA"/>
    <w:rsid w:val="73880E53"/>
    <w:rsid w:val="73970746"/>
    <w:rsid w:val="73A62BBC"/>
    <w:rsid w:val="73B136CB"/>
    <w:rsid w:val="73B55051"/>
    <w:rsid w:val="74267E75"/>
    <w:rsid w:val="743E0B9B"/>
    <w:rsid w:val="744011B9"/>
    <w:rsid w:val="74580127"/>
    <w:rsid w:val="74AB65E8"/>
    <w:rsid w:val="74CF12E9"/>
    <w:rsid w:val="74F03CA1"/>
    <w:rsid w:val="74F846EB"/>
    <w:rsid w:val="766E45C4"/>
    <w:rsid w:val="769B255A"/>
    <w:rsid w:val="76F51E90"/>
    <w:rsid w:val="77124D79"/>
    <w:rsid w:val="7739385F"/>
    <w:rsid w:val="777D3E7E"/>
    <w:rsid w:val="77996839"/>
    <w:rsid w:val="781174F2"/>
    <w:rsid w:val="78361072"/>
    <w:rsid w:val="78422E7D"/>
    <w:rsid w:val="784D5990"/>
    <w:rsid w:val="785228DA"/>
    <w:rsid w:val="786575AD"/>
    <w:rsid w:val="787F0879"/>
    <w:rsid w:val="78A02FA0"/>
    <w:rsid w:val="78E9384A"/>
    <w:rsid w:val="793A1DDD"/>
    <w:rsid w:val="794D5A65"/>
    <w:rsid w:val="79922C1B"/>
    <w:rsid w:val="79951709"/>
    <w:rsid w:val="79966DD3"/>
    <w:rsid w:val="79A84582"/>
    <w:rsid w:val="79B25E17"/>
    <w:rsid w:val="79C23BFC"/>
    <w:rsid w:val="79F301DD"/>
    <w:rsid w:val="7A366E74"/>
    <w:rsid w:val="7A843160"/>
    <w:rsid w:val="7A8772A3"/>
    <w:rsid w:val="7A904AD5"/>
    <w:rsid w:val="7ABE6A3D"/>
    <w:rsid w:val="7AC72841"/>
    <w:rsid w:val="7ADA7135"/>
    <w:rsid w:val="7B186513"/>
    <w:rsid w:val="7B4435A2"/>
    <w:rsid w:val="7B651423"/>
    <w:rsid w:val="7B814910"/>
    <w:rsid w:val="7B87581E"/>
    <w:rsid w:val="7BF20F67"/>
    <w:rsid w:val="7C120713"/>
    <w:rsid w:val="7C263DF1"/>
    <w:rsid w:val="7C436E29"/>
    <w:rsid w:val="7C4F7E97"/>
    <w:rsid w:val="7C5517EE"/>
    <w:rsid w:val="7C6D6022"/>
    <w:rsid w:val="7CFD5A78"/>
    <w:rsid w:val="7D103724"/>
    <w:rsid w:val="7D511F32"/>
    <w:rsid w:val="7D573AFD"/>
    <w:rsid w:val="7D6B1F87"/>
    <w:rsid w:val="7DA83579"/>
    <w:rsid w:val="7DE73065"/>
    <w:rsid w:val="7DF43ABC"/>
    <w:rsid w:val="7E222C36"/>
    <w:rsid w:val="7E7310D0"/>
    <w:rsid w:val="7E9A5D97"/>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page number"/>
    <w:autoRedefine/>
    <w:qFormat/>
    <w:uiPriority w:val="0"/>
  </w:style>
  <w:style w:type="character" w:styleId="14">
    <w:name w:val="FollowedHyperlink"/>
    <w:autoRedefine/>
    <w:qFormat/>
    <w:uiPriority w:val="99"/>
    <w:rPr>
      <w:color w:val="666666"/>
      <w:u w:val="none"/>
    </w:rPr>
  </w:style>
  <w:style w:type="character" w:styleId="15">
    <w:name w:val="Hyperlink"/>
    <w:autoRedefine/>
    <w:qFormat/>
    <w:uiPriority w:val="99"/>
    <w:rPr>
      <w:color w:val="666666"/>
      <w:u w:val="none"/>
    </w:rPr>
  </w:style>
  <w:style w:type="character" w:customStyle="1" w:styleId="16">
    <w:name w:val="页脚 字符"/>
    <w:link w:val="5"/>
    <w:autoRedefine/>
    <w:qFormat/>
    <w:uiPriority w:val="0"/>
    <w:rPr>
      <w:kern w:val="2"/>
      <w:sz w:val="18"/>
      <w:szCs w:val="18"/>
    </w:rPr>
  </w:style>
  <w:style w:type="character" w:customStyle="1" w:styleId="17">
    <w:name w:val="页眉 字符"/>
    <w:link w:val="6"/>
    <w:autoRedefine/>
    <w:qFormat/>
    <w:uiPriority w:val="0"/>
    <w:rPr>
      <w:kern w:val="2"/>
      <w:sz w:val="18"/>
      <w:szCs w:val="18"/>
    </w:rPr>
  </w:style>
  <w:style w:type="paragraph" w:customStyle="1" w:styleId="18">
    <w:name w:val="_Style 15"/>
    <w:basedOn w:val="1"/>
    <w:autoRedefine/>
    <w:qFormat/>
    <w:uiPriority w:val="0"/>
    <w:pPr>
      <w:widowControl/>
      <w:spacing w:after="160" w:line="240" w:lineRule="exact"/>
      <w:ind w:firstLine="420" w:firstLineChars="200"/>
      <w:jc w:val="left"/>
    </w:pPr>
  </w:style>
  <w:style w:type="character" w:customStyle="1" w:styleId="19">
    <w:name w:val="l-open"/>
    <w:autoRedefine/>
    <w:qFormat/>
    <w:uiPriority w:val="0"/>
  </w:style>
  <w:style w:type="character" w:customStyle="1" w:styleId="20">
    <w:name w:val="folder"/>
    <w:autoRedefine/>
    <w:qFormat/>
    <w:uiPriority w:val="0"/>
  </w:style>
  <w:style w:type="character" w:customStyle="1" w:styleId="21">
    <w:name w:val="file"/>
    <w:autoRedefine/>
    <w:qFormat/>
    <w:uiPriority w:val="0"/>
  </w:style>
  <w:style w:type="paragraph" w:customStyle="1" w:styleId="22">
    <w:name w:val="_Style 1"/>
    <w:basedOn w:val="1"/>
    <w:autoRedefine/>
    <w:qFormat/>
    <w:uiPriority w:val="0"/>
    <w:pPr>
      <w:widowControl/>
      <w:spacing w:after="160" w:line="240" w:lineRule="exact"/>
      <w:ind w:firstLine="420" w:firstLineChars="200"/>
      <w:jc w:val="left"/>
    </w:pPr>
    <w:rPr>
      <w:szCs w:val="20"/>
    </w:rPr>
  </w:style>
  <w:style w:type="paragraph" w:customStyle="1" w:styleId="23">
    <w:name w:val="Char"/>
    <w:basedOn w:val="1"/>
    <w:autoRedefine/>
    <w:qFormat/>
    <w:uiPriority w:val="0"/>
    <w:pPr>
      <w:widowControl/>
      <w:spacing w:after="160" w:line="240" w:lineRule="exact"/>
      <w:ind w:firstLine="420" w:firstLineChars="200"/>
      <w:jc w:val="left"/>
    </w:pPr>
  </w:style>
  <w:style w:type="paragraph" w:customStyle="1" w:styleId="24">
    <w:name w:val="_Style 5"/>
    <w:basedOn w:val="1"/>
    <w:autoRedefine/>
    <w:qFormat/>
    <w:uiPriority w:val="0"/>
    <w:pPr>
      <w:widowControl/>
      <w:spacing w:after="160" w:line="240" w:lineRule="exact"/>
      <w:ind w:firstLine="420" w:firstLineChars="200"/>
      <w:jc w:val="left"/>
    </w:pPr>
    <w:rPr>
      <w:szCs w:val="20"/>
    </w:rPr>
  </w:style>
  <w:style w:type="paragraph" w:customStyle="1" w:styleId="25">
    <w:name w:val="Char Char"/>
    <w:basedOn w:val="1"/>
    <w:autoRedefine/>
    <w:qFormat/>
    <w:uiPriority w:val="0"/>
    <w:pPr>
      <w:widowControl/>
      <w:spacing w:after="160" w:line="240" w:lineRule="exact"/>
      <w:ind w:firstLine="420" w:firstLineChars="200"/>
      <w:jc w:val="left"/>
    </w:pPr>
  </w:style>
  <w:style w:type="paragraph" w:customStyle="1" w:styleId="26">
    <w:name w:val="Char Char1"/>
    <w:basedOn w:val="1"/>
    <w:autoRedefine/>
    <w:qFormat/>
    <w:uiPriority w:val="0"/>
    <w:pPr>
      <w:widowControl/>
      <w:spacing w:after="160" w:line="240" w:lineRule="exact"/>
      <w:ind w:firstLine="420" w:firstLineChars="200"/>
      <w:jc w:val="left"/>
    </w:pPr>
  </w:style>
  <w:style w:type="character" w:customStyle="1" w:styleId="27">
    <w:name w:val="font11"/>
    <w:autoRedefine/>
    <w:qFormat/>
    <w:uiPriority w:val="0"/>
    <w:rPr>
      <w:rFonts w:hint="eastAsia" w:ascii="宋体" w:hAnsi="宋体" w:eastAsia="宋体" w:cs="宋体"/>
      <w:color w:val="000000"/>
      <w:sz w:val="20"/>
      <w:szCs w:val="20"/>
      <w:u w:val="none"/>
    </w:rPr>
  </w:style>
  <w:style w:type="paragraph" w:customStyle="1" w:styleId="28">
    <w:name w:val=" Char Char"/>
    <w:basedOn w:val="1"/>
    <w:autoRedefine/>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5664</Words>
  <Characters>5851</Characters>
  <Lines>147</Lines>
  <Paragraphs>157</Paragraphs>
  <TotalTime>1</TotalTime>
  <ScaleCrop>false</ScaleCrop>
  <LinksUpToDate>false</LinksUpToDate>
  <CharactersWithSpaces>6154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USER</cp:lastModifiedBy>
  <cp:lastPrinted>2024-05-31T07:41:00Z</cp:lastPrinted>
  <dcterms:modified xsi:type="dcterms:W3CDTF">2024-07-25T07:46:07Z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CD6293BE860C4C1F86809CEABE42D0D5_13</vt:lpwstr>
  </property>
</Properties>
</file>