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atLeast"/>
        <w:jc w:val="center"/>
        <w:rPr>
          <w:rFonts w:ascii="宋体" w:hAnsi="宋体"/>
          <w:b/>
          <w:bCs/>
          <w:color w:val="000000" w:themeColor="text1"/>
          <w:spacing w:val="60"/>
          <w:sz w:val="52"/>
          <w:szCs w:val="52"/>
          <w14:textFill>
            <w14:solidFill>
              <w14:schemeClr w14:val="tx1"/>
            </w14:solidFill>
          </w14:textFill>
        </w:rPr>
      </w:pPr>
      <w:r>
        <w:rPr>
          <w:rFonts w:hint="eastAsia" w:ascii="宋体" w:hAnsi="宋体"/>
          <w:b/>
          <w:bCs/>
          <w:color w:val="000000" w:themeColor="text1"/>
          <w:spacing w:val="60"/>
          <w:sz w:val="52"/>
          <w:szCs w:val="52"/>
          <w14:textFill>
            <w14:solidFill>
              <w14:schemeClr w14:val="tx1"/>
            </w14:solidFill>
          </w14:textFill>
        </w:rPr>
        <w:t>宁波阳明拍卖有限公司</w:t>
      </w:r>
    </w:p>
    <w:p>
      <w:pPr>
        <w:spacing w:line="440" w:lineRule="atLeast"/>
        <w:jc w:val="center"/>
        <w:rPr>
          <w:rFonts w:ascii="宋体" w:hAnsi="宋体"/>
          <w:b/>
          <w:color w:val="000000" w:themeColor="text1"/>
          <w:sz w:val="52"/>
          <w:szCs w:val="52"/>
          <w14:textFill>
            <w14:solidFill>
              <w14:schemeClr w14:val="tx1"/>
            </w14:solidFill>
          </w14:textFill>
        </w:rPr>
      </w:pP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pPr>
        <w:spacing w:line="440" w:lineRule="atLeast"/>
        <w:jc w:val="center"/>
        <w:rPr>
          <w:rFonts w:ascii="宋体" w:hAnsi="宋体"/>
          <w:b/>
          <w:bCs/>
          <w:color w:val="000000" w:themeColor="text1"/>
          <w:sz w:val="52"/>
          <w:szCs w:val="52"/>
          <w14:textFill>
            <w14:solidFill>
              <w14:schemeClr w14:val="tx1"/>
            </w14:solidFill>
          </w14:textFill>
        </w:rPr>
      </w:pPr>
    </w:p>
    <w:p>
      <w:pPr>
        <w:spacing w:line="600" w:lineRule="exact"/>
        <w:ind w:left="1927" w:leftChars="136" w:right="-107" w:rightChars="-51" w:hanging="1641" w:hangingChars="681"/>
        <w:rPr>
          <w:rFonts w:ascii="宋体" w:hAnsi="宋体" w:cs="宋体"/>
          <w:color w:val="000000" w:themeColor="text1"/>
          <w:kern w:val="0"/>
          <w:szCs w:val="21"/>
          <w14:textFill>
            <w14:solidFill>
              <w14:schemeClr w14:val="tx1"/>
            </w14:solidFill>
          </w14:textFill>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cs="宋体"/>
          <w:b w:val="0"/>
          <w:bCs/>
          <w:kern w:val="0"/>
          <w:sz w:val="24"/>
        </w:rPr>
        <w:t>旧机动车</w:t>
      </w:r>
      <w:r>
        <w:rPr>
          <w:rFonts w:hint="eastAsia" w:ascii="宋体" w:hAnsi="宋体" w:cs="宋体"/>
          <w:color w:val="000000" w:themeColor="text1"/>
          <w:kern w:val="0"/>
          <w:sz w:val="24"/>
          <w14:textFill>
            <w14:solidFill>
              <w14:schemeClr w14:val="tx1"/>
            </w14:solidFill>
          </w14:textFill>
        </w:rPr>
        <w:t>网络拍卖会</w:t>
      </w:r>
    </w:p>
    <w:p>
      <w:pPr>
        <w:spacing w:line="600" w:lineRule="exact"/>
        <w:ind w:left="1927" w:leftChars="136" w:right="-107" w:rightChars="-51" w:hanging="1641" w:hangingChars="681"/>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cs="宋体"/>
          <w:b w:val="0"/>
          <w:bCs/>
          <w:kern w:val="0"/>
          <w:sz w:val="24"/>
        </w:rPr>
        <w:t>旧机动车</w:t>
      </w:r>
      <w:r>
        <w:rPr>
          <w:rFonts w:hint="eastAsia" w:ascii="宋体" w:hAnsi="宋体" w:cs="宋体"/>
          <w:b w:val="0"/>
          <w:bCs/>
          <w:kern w:val="0"/>
          <w:sz w:val="24"/>
          <w:lang w:eastAsia="zh-CN"/>
        </w:rPr>
        <w:t>一辆</w:t>
      </w:r>
    </w:p>
    <w:p>
      <w:pPr>
        <w:spacing w:afterLines="30" w:line="500" w:lineRule="exact"/>
        <w:ind w:firstLine="284" w:firstLineChars="118"/>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拍卖时间：</w:t>
      </w: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kern w:val="0"/>
          <w:sz w:val="24"/>
          <w:szCs w:val="24"/>
        </w:rPr>
        <w:t>月</w:t>
      </w:r>
      <w:r>
        <w:rPr>
          <w:rFonts w:hint="eastAsia" w:ascii="宋体" w:hAnsi="宋体" w:cs="宋体"/>
          <w:kern w:val="0"/>
          <w:sz w:val="24"/>
          <w:szCs w:val="24"/>
          <w:lang w:val="en-US" w:eastAsia="zh-CN"/>
        </w:rPr>
        <w:t>15</w:t>
      </w:r>
      <w:r>
        <w:rPr>
          <w:rFonts w:hint="eastAsia" w:ascii="宋体" w:hAnsi="宋体" w:cs="宋体"/>
          <w:color w:val="000000" w:themeColor="text1"/>
          <w:kern w:val="0"/>
          <w:sz w:val="24"/>
          <w14:textFill>
            <w14:solidFill>
              <w14:schemeClr w14:val="tx1"/>
            </w14:solidFill>
          </w14:textFill>
        </w:rPr>
        <w:t>日上午</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:00—9:30</w:t>
      </w:r>
      <w:r>
        <w:rPr>
          <w:rFonts w:ascii="宋体" w:hAnsi="宋体" w:cs="宋体"/>
          <w:color w:val="000000" w:themeColor="text1"/>
          <w:kern w:val="0"/>
          <w:sz w:val="24"/>
          <w14:textFill>
            <w14:solidFill>
              <w14:schemeClr w14:val="tx1"/>
            </w14:solidFill>
          </w14:textFill>
        </w:rPr>
        <w:t>（延时除外）</w:t>
      </w:r>
    </w:p>
    <w:p>
      <w:pPr>
        <w:spacing w:afterLines="30" w:line="500" w:lineRule="exact"/>
        <w:ind w:firstLine="284" w:firstLineChars="118"/>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拍卖方式：</w:t>
      </w:r>
      <w:r>
        <w:rPr>
          <w:rFonts w:hint="eastAsia" w:ascii="宋体" w:hAnsi="宋体" w:cs="宋体"/>
          <w:bCs/>
          <w:color w:val="000000" w:themeColor="text1"/>
          <w:kern w:val="0"/>
          <w:sz w:val="24"/>
          <w14:textFill>
            <w14:solidFill>
              <w14:schemeClr w14:val="tx1"/>
            </w14:solidFill>
          </w14:textFill>
        </w:rPr>
        <w:t>网络拍卖</w:t>
      </w:r>
    </w:p>
    <w:p>
      <w:pPr>
        <w:spacing w:afterLines="30" w:line="500" w:lineRule="exact"/>
        <w:rPr>
          <w:rFonts w:ascii="宋体" w:hAnsi="宋体" w:cs="宋体"/>
          <w:b/>
          <w:color w:val="000000" w:themeColor="text1"/>
          <w:kern w:val="0"/>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p>
    <w:p>
      <w:pPr>
        <w:spacing w:afterLines="30" w:line="500" w:lineRule="exact"/>
        <w:ind w:firstLine="283" w:firstLineChars="118"/>
        <w:rPr>
          <w:rFonts w:hint="eastAsia" w:ascii="宋体" w:hAnsi="宋体"/>
          <w:color w:val="000000" w:themeColor="text1"/>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公司地址：浙江省余姚市舜水北路16号</w:t>
      </w:r>
    </w:p>
    <w:p>
      <w:pPr>
        <w:spacing w:afterLines="30" w:line="500" w:lineRule="exact"/>
        <w:ind w:firstLine="283" w:firstLineChars="118"/>
        <w:rPr>
          <w:rFonts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公司电话：0574-62724638、62651915       传真：0574-62651961</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pPr>
        <w:keepNext w:val="0"/>
        <w:keepLines w:val="0"/>
        <w:pageBreakBefore w:val="0"/>
        <w:kinsoku/>
        <w:wordWrap/>
        <w:overflowPunct/>
        <w:topLinePunct w:val="0"/>
        <w:autoSpaceDE/>
        <w:autoSpaceDN/>
        <w:bidi w:val="0"/>
        <w:adjustRightInd/>
        <w:spacing w:line="520" w:lineRule="exact"/>
        <w:ind w:firstLine="470" w:firstLineChars="195"/>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宁波阳明拍卖有限公司（以下简称“拍卖人”）将依法组织和开展拍卖活动，参加拍卖活动的竞买人必须仔细阅读并遵守本《拍卖须知》及其它相关文件，并对自己执行本《拍卖须知》的行为负责。</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拍卖标的</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kern w:val="0"/>
          <w:sz w:val="24"/>
        </w:rPr>
      </w:pPr>
      <w:r>
        <w:rPr>
          <w:rFonts w:hint="eastAsia" w:ascii="宋体" w:hAnsi="宋体"/>
          <w:b/>
          <w:color w:val="000000" w:themeColor="text1"/>
          <w:sz w:val="24"/>
          <w:lang w:eastAsia="zh-CN"/>
          <w14:textFill>
            <w14:solidFill>
              <w14:schemeClr w14:val="tx1"/>
            </w14:solidFill>
          </w14:textFill>
        </w:rPr>
        <w:t>第四条</w:t>
      </w: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拍卖标的：</w:t>
      </w:r>
      <w:r>
        <w:rPr>
          <w:rFonts w:hint="eastAsia" w:ascii="宋体" w:hAnsi="宋体" w:cs="宋体"/>
          <w:b w:val="0"/>
          <w:bCs/>
          <w:kern w:val="0"/>
          <w:sz w:val="24"/>
        </w:rPr>
        <w:t>浙B1085警旧机动车</w:t>
      </w:r>
      <w:r>
        <w:rPr>
          <w:rFonts w:hint="eastAsia" w:ascii="宋体" w:hAnsi="宋体" w:cs="宋体"/>
          <w:b w:val="0"/>
          <w:bCs/>
          <w:kern w:val="0"/>
          <w:sz w:val="24"/>
          <w:lang w:eastAsia="zh-CN"/>
        </w:rPr>
        <w:t>（现车牌为：浙</w:t>
      </w:r>
      <w:r>
        <w:rPr>
          <w:rFonts w:hint="eastAsia" w:ascii="宋体" w:hAnsi="宋体" w:cs="宋体"/>
          <w:b w:val="0"/>
          <w:bCs/>
          <w:kern w:val="0"/>
          <w:sz w:val="24"/>
          <w:lang w:val="en-US" w:eastAsia="zh-CN"/>
        </w:rPr>
        <w:t>B5S702</w:t>
      </w:r>
      <w:r>
        <w:rPr>
          <w:rFonts w:hint="eastAsia" w:ascii="宋体" w:hAnsi="宋体" w:cs="宋体"/>
          <w:b w:val="0"/>
          <w:bCs/>
          <w:kern w:val="0"/>
          <w:sz w:val="24"/>
          <w:lang w:eastAsia="zh-CN"/>
        </w:rPr>
        <w:t>）</w:t>
      </w:r>
      <w:r>
        <w:rPr>
          <w:rFonts w:hint="eastAsia" w:ascii="宋体" w:hAnsi="宋体" w:eastAsia="宋体" w:cs="宋体"/>
          <w:kern w:val="0"/>
          <w:sz w:val="24"/>
        </w:rPr>
        <w:t>。</w:t>
      </w:r>
      <w:r>
        <w:rPr>
          <w:rFonts w:hint="eastAsia" w:ascii="宋体" w:hAnsi="宋体" w:eastAsia="宋体" w:cs="宋体"/>
          <w:kern w:val="0"/>
          <w:sz w:val="24"/>
          <w:lang w:eastAsia="zh-CN"/>
        </w:rPr>
        <w:t>车辆类型：中型专项作业车；</w:t>
      </w:r>
      <w:r>
        <w:rPr>
          <w:rFonts w:hint="eastAsia" w:ascii="宋体" w:hAnsi="宋体" w:eastAsia="宋体" w:cs="宋体"/>
          <w:kern w:val="0"/>
          <w:sz w:val="24"/>
        </w:rPr>
        <w:t>品牌型号：</w:t>
      </w:r>
      <w:r>
        <w:rPr>
          <w:rFonts w:hint="eastAsia" w:ascii="宋体" w:hAnsi="宋体" w:eastAsia="宋体" w:cs="宋体"/>
          <w:kern w:val="0"/>
          <w:sz w:val="24"/>
          <w:lang w:eastAsia="zh-CN"/>
        </w:rPr>
        <w:t>粤海牌</w:t>
      </w:r>
      <w:r>
        <w:rPr>
          <w:rFonts w:hint="eastAsia" w:ascii="宋体" w:hAnsi="宋体" w:eastAsia="宋体" w:cs="宋体"/>
          <w:kern w:val="0"/>
          <w:sz w:val="24"/>
          <w:lang w:val="en-US" w:eastAsia="zh-CN"/>
        </w:rPr>
        <w:t>YH5075TQZ02P</w:t>
      </w:r>
      <w:r>
        <w:rPr>
          <w:rFonts w:hint="eastAsia" w:ascii="宋体" w:hAnsi="宋体" w:eastAsia="宋体" w:cs="宋体"/>
          <w:kern w:val="0"/>
          <w:sz w:val="24"/>
        </w:rPr>
        <w:t>；</w:t>
      </w:r>
      <w:r>
        <w:rPr>
          <w:rFonts w:hint="eastAsia" w:ascii="宋体" w:hAnsi="宋体" w:eastAsia="宋体" w:cs="宋体"/>
          <w:kern w:val="0"/>
          <w:sz w:val="24"/>
          <w:lang w:eastAsia="zh-CN"/>
        </w:rPr>
        <w:t>初始登记</w:t>
      </w:r>
      <w:r>
        <w:rPr>
          <w:rFonts w:hint="eastAsia" w:ascii="宋体" w:hAnsi="宋体" w:eastAsia="宋体" w:cs="宋体"/>
          <w:kern w:val="0"/>
          <w:sz w:val="24"/>
        </w:rPr>
        <w:t>日期：20</w:t>
      </w:r>
      <w:r>
        <w:rPr>
          <w:rFonts w:hint="eastAsia" w:ascii="宋体" w:hAnsi="宋体" w:eastAsia="宋体" w:cs="宋体"/>
          <w:kern w:val="0"/>
          <w:sz w:val="24"/>
          <w:lang w:val="en-US" w:eastAsia="zh-CN"/>
        </w:rPr>
        <w:t>13</w:t>
      </w:r>
      <w:r>
        <w:rPr>
          <w:rFonts w:hint="eastAsia" w:ascii="宋体" w:hAnsi="宋体" w:eastAsia="宋体" w:cs="宋体"/>
          <w:kern w:val="0"/>
          <w:sz w:val="24"/>
        </w:rPr>
        <w:t>年</w:t>
      </w:r>
      <w:r>
        <w:rPr>
          <w:rFonts w:hint="eastAsia" w:ascii="宋体" w:hAnsi="宋体" w:eastAsia="宋体" w:cs="宋体"/>
          <w:kern w:val="0"/>
          <w:sz w:val="24"/>
          <w:lang w:val="en-US" w:eastAsia="zh-CN"/>
        </w:rPr>
        <w:t>6</w:t>
      </w:r>
      <w:r>
        <w:rPr>
          <w:rFonts w:hint="eastAsia" w:ascii="宋体" w:hAnsi="宋体" w:eastAsia="宋体" w:cs="宋体"/>
          <w:kern w:val="0"/>
          <w:sz w:val="24"/>
        </w:rPr>
        <w:t>月</w:t>
      </w:r>
      <w:r>
        <w:rPr>
          <w:rFonts w:hint="eastAsia" w:ascii="宋体" w:hAnsi="宋体" w:eastAsia="宋体" w:cs="宋体"/>
          <w:kern w:val="0"/>
          <w:sz w:val="24"/>
          <w:lang w:val="en-US" w:eastAsia="zh-CN"/>
        </w:rPr>
        <w:t>26日</w:t>
      </w:r>
      <w:r>
        <w:rPr>
          <w:rFonts w:hint="eastAsia" w:ascii="宋体" w:hAnsi="宋体" w:cs="宋体"/>
          <w:kern w:val="0"/>
          <w:sz w:val="24"/>
          <w:lang w:val="en-US" w:eastAsia="zh-CN"/>
        </w:rPr>
        <w:t>；强制报废期止：2043年6月26日；</w:t>
      </w:r>
      <w:r>
        <w:rPr>
          <w:rFonts w:hint="eastAsia" w:ascii="宋体" w:hAnsi="宋体" w:eastAsia="宋体" w:cs="宋体"/>
          <w:kern w:val="0"/>
          <w:sz w:val="24"/>
        </w:rPr>
        <w:t>行驶里程：约</w:t>
      </w:r>
      <w:r>
        <w:rPr>
          <w:rFonts w:hint="eastAsia" w:ascii="宋体" w:hAnsi="宋体" w:eastAsia="宋体" w:cs="宋体"/>
          <w:kern w:val="0"/>
          <w:sz w:val="24"/>
          <w:lang w:val="en-US" w:eastAsia="zh-CN"/>
        </w:rPr>
        <w:t>1.4</w:t>
      </w:r>
      <w:r>
        <w:rPr>
          <w:rFonts w:hint="eastAsia" w:ascii="宋体" w:hAnsi="宋体" w:eastAsia="宋体" w:cs="宋体"/>
          <w:kern w:val="0"/>
          <w:sz w:val="24"/>
        </w:rPr>
        <w:t>万公里</w:t>
      </w:r>
      <w:r>
        <w:rPr>
          <w:rFonts w:hint="eastAsia" w:ascii="宋体" w:hAnsi="宋体" w:eastAsia="宋体" w:cs="宋体"/>
          <w:b w:val="0"/>
          <w:bCs/>
          <w:color w:val="auto"/>
          <w:kern w:val="0"/>
          <w:sz w:val="24"/>
          <w:highlight w:val="none"/>
          <w:lang w:val="en-US" w:eastAsia="zh-CN"/>
        </w:rPr>
        <w:t>；</w:t>
      </w:r>
      <w:r>
        <w:rPr>
          <w:rFonts w:hint="eastAsia" w:ascii="宋体" w:hAnsi="宋体" w:cs="宋体"/>
          <w:b w:val="0"/>
          <w:bCs/>
          <w:color w:val="auto"/>
          <w:kern w:val="0"/>
          <w:sz w:val="24"/>
          <w:highlight w:val="none"/>
          <w:lang w:val="en-US" w:eastAsia="zh-CN"/>
        </w:rPr>
        <w:t>保险已过期；</w:t>
      </w:r>
      <w:r>
        <w:rPr>
          <w:rFonts w:hint="eastAsia" w:ascii="宋体" w:hAnsi="宋体" w:eastAsia="宋体" w:cs="宋体"/>
          <w:kern w:val="0"/>
          <w:sz w:val="24"/>
        </w:rPr>
        <w:t>起拍价：</w:t>
      </w:r>
      <w:r>
        <w:rPr>
          <w:rFonts w:hint="eastAsia" w:ascii="宋体" w:hAnsi="宋体" w:eastAsia="宋体" w:cs="宋体"/>
          <w:bCs/>
          <w:color w:val="auto"/>
          <w:kern w:val="0"/>
          <w:sz w:val="24"/>
        </w:rPr>
        <w:t>人民币</w:t>
      </w:r>
      <w:r>
        <w:rPr>
          <w:rFonts w:hint="eastAsia" w:ascii="宋体" w:hAnsi="宋体" w:eastAsia="宋体" w:cs="宋体"/>
          <w:color w:val="auto"/>
          <w:sz w:val="24"/>
          <w:lang w:val="en-US" w:eastAsia="zh-CN"/>
        </w:rPr>
        <w:t>35000</w:t>
      </w:r>
      <w:r>
        <w:rPr>
          <w:rFonts w:hint="eastAsia" w:ascii="宋体" w:hAnsi="宋体" w:eastAsia="宋体" w:cs="宋体"/>
          <w:bCs/>
          <w:color w:val="auto"/>
          <w:kern w:val="0"/>
          <w:sz w:val="24"/>
        </w:rPr>
        <w:t>元；竞买保证金：人民币</w:t>
      </w:r>
      <w:r>
        <w:rPr>
          <w:rFonts w:hint="eastAsia" w:ascii="宋体" w:hAnsi="宋体" w:eastAsia="宋体" w:cs="宋体"/>
          <w:bCs/>
          <w:color w:val="auto"/>
          <w:kern w:val="0"/>
          <w:sz w:val="24"/>
          <w:lang w:val="en-US" w:eastAsia="zh-CN"/>
        </w:rPr>
        <w:t>7000</w:t>
      </w:r>
      <w:r>
        <w:rPr>
          <w:rFonts w:hint="eastAsia" w:ascii="宋体" w:hAnsi="宋体" w:eastAsia="宋体" w:cs="宋体"/>
          <w:bCs/>
          <w:color w:val="auto"/>
          <w:kern w:val="0"/>
          <w:sz w:val="24"/>
        </w:rPr>
        <w:t>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b w:val="0"/>
          <w:bCs/>
          <w:color w:val="auto"/>
          <w:kern w:val="0"/>
          <w:sz w:val="24"/>
          <w:highlight w:val="none"/>
          <w:lang w:val="en-US" w:eastAsia="zh-CN"/>
        </w:rPr>
      </w:pPr>
      <w:r>
        <w:rPr>
          <w:rFonts w:hint="eastAsia" w:ascii="宋体" w:hAnsi="宋体" w:eastAsia="宋体" w:cs="宋体"/>
          <w:b/>
          <w:bCs w:val="0"/>
          <w:color w:val="auto"/>
          <w:kern w:val="0"/>
          <w:sz w:val="24"/>
          <w:highlight w:val="none"/>
        </w:rPr>
        <w:t>注：</w:t>
      </w:r>
      <w:r>
        <w:rPr>
          <w:rFonts w:hint="eastAsia" w:ascii="宋体" w:hAnsi="宋体" w:eastAsia="宋体" w:cs="宋体"/>
          <w:b w:val="0"/>
          <w:bCs/>
          <w:color w:val="auto"/>
          <w:kern w:val="0"/>
          <w:sz w:val="24"/>
          <w:highlight w:val="none"/>
          <w:lang w:val="en-US" w:eastAsia="zh-CN"/>
        </w:rPr>
        <w:t>（一）</w:t>
      </w:r>
      <w:r>
        <w:rPr>
          <w:rFonts w:hint="eastAsia" w:ascii="宋体" w:hAnsi="宋体" w:eastAsia="宋体" w:cs="宋体"/>
          <w:bCs/>
          <w:kern w:val="0"/>
          <w:sz w:val="24"/>
        </w:rPr>
        <w:t>标的物</w:t>
      </w:r>
      <w:r>
        <w:rPr>
          <w:rFonts w:hint="eastAsia" w:ascii="宋体" w:hAnsi="宋体" w:eastAsia="宋体" w:cs="宋体"/>
          <w:bCs/>
          <w:color w:val="auto"/>
          <w:kern w:val="0"/>
          <w:sz w:val="24"/>
          <w:highlight w:val="none"/>
        </w:rPr>
        <w:t>无法启动</w:t>
      </w:r>
      <w:r>
        <w:rPr>
          <w:rFonts w:hint="eastAsia" w:ascii="宋体" w:hAnsi="宋体" w:eastAsia="宋体" w:cs="宋体"/>
          <w:bCs/>
          <w:color w:val="auto"/>
          <w:kern w:val="0"/>
          <w:sz w:val="24"/>
          <w:highlight w:val="none"/>
          <w:lang w:eastAsia="zh-CN"/>
        </w:rPr>
        <w:t>、保养状况一般、车况一般、维护成本高，</w:t>
      </w:r>
      <w:r>
        <w:rPr>
          <w:rFonts w:hint="eastAsia" w:ascii="宋体" w:hAnsi="宋体" w:eastAsia="宋体" w:cs="宋体"/>
          <w:bCs/>
          <w:color w:val="auto"/>
          <w:kern w:val="0"/>
          <w:sz w:val="24"/>
          <w:highlight w:val="none"/>
        </w:rPr>
        <w:t>且</w:t>
      </w:r>
      <w:r>
        <w:rPr>
          <w:rFonts w:hint="eastAsia" w:ascii="宋体" w:hAnsi="宋体" w:cs="宋体"/>
          <w:bCs/>
          <w:color w:val="auto"/>
          <w:kern w:val="0"/>
          <w:sz w:val="24"/>
          <w:highlight w:val="none"/>
          <w:lang w:eastAsia="zh-CN"/>
        </w:rPr>
        <w:t>可能</w:t>
      </w:r>
      <w:r>
        <w:rPr>
          <w:rFonts w:hint="eastAsia" w:ascii="宋体" w:hAnsi="宋体" w:eastAsia="宋体" w:cs="宋体"/>
          <w:bCs/>
          <w:color w:val="auto"/>
          <w:kern w:val="0"/>
          <w:sz w:val="24"/>
          <w:highlight w:val="none"/>
        </w:rPr>
        <w:t>存在涉水、未知故障、</w:t>
      </w:r>
      <w:r>
        <w:rPr>
          <w:rFonts w:hint="eastAsia" w:ascii="宋体" w:hAnsi="宋体" w:cs="宋体"/>
          <w:bCs/>
          <w:color w:val="auto"/>
          <w:kern w:val="0"/>
          <w:sz w:val="24"/>
          <w:highlight w:val="none"/>
          <w:lang w:eastAsia="zh-CN"/>
        </w:rPr>
        <w:t>里程表损坏、</w:t>
      </w:r>
      <w:r>
        <w:rPr>
          <w:rFonts w:hint="eastAsia" w:ascii="宋体" w:hAnsi="宋体" w:eastAsia="宋体" w:cs="宋体"/>
          <w:bCs/>
          <w:color w:val="auto"/>
          <w:kern w:val="0"/>
          <w:sz w:val="24"/>
          <w:highlight w:val="none"/>
        </w:rPr>
        <w:t>无保险、年检超期、违章未处理、配件缺少</w:t>
      </w:r>
      <w:r>
        <w:rPr>
          <w:rFonts w:hint="eastAsia" w:ascii="宋体" w:hAnsi="宋体" w:eastAsia="宋体" w:cs="宋体"/>
          <w:bCs/>
          <w:color w:val="auto"/>
          <w:kern w:val="0"/>
          <w:sz w:val="24"/>
          <w:highlight w:val="none"/>
          <w:lang w:eastAsia="zh-CN"/>
        </w:rPr>
        <w:t>、未修复的刮擦</w:t>
      </w:r>
      <w:r>
        <w:rPr>
          <w:rFonts w:hint="eastAsia" w:ascii="宋体" w:hAnsi="宋体" w:eastAsia="宋体" w:cs="宋体"/>
          <w:bCs/>
          <w:color w:val="auto"/>
          <w:kern w:val="0"/>
          <w:sz w:val="24"/>
          <w:highlight w:val="none"/>
        </w:rPr>
        <w:t>等现象</w:t>
      </w:r>
      <w:r>
        <w:rPr>
          <w:rFonts w:hint="eastAsia" w:ascii="宋体" w:hAnsi="宋体" w:eastAsia="宋体" w:cs="宋体"/>
          <w:bCs/>
          <w:color w:val="auto"/>
          <w:kern w:val="0"/>
          <w:sz w:val="24"/>
          <w:highlight w:val="none"/>
          <w:lang w:eastAsia="zh-CN"/>
        </w:rPr>
        <w:t>，请竞买人实地仔细看样后参拍</w:t>
      </w:r>
      <w:r>
        <w:rPr>
          <w:rFonts w:hint="eastAsia" w:ascii="宋体" w:hAnsi="宋体" w:cs="宋体"/>
          <w:b w:val="0"/>
          <w:bCs/>
          <w:color w:val="auto"/>
          <w:kern w:val="0"/>
          <w:sz w:val="24"/>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val="0"/>
          <w:color w:val="auto"/>
          <w:kern w:val="0"/>
          <w:sz w:val="24"/>
          <w:highlight w:val="none"/>
          <w:lang w:eastAsia="zh-CN"/>
        </w:rPr>
      </w:pPr>
      <w:r>
        <w:rPr>
          <w:rFonts w:hint="eastAsia" w:ascii="宋体" w:hAnsi="宋体" w:cs="宋体"/>
          <w:b w:val="0"/>
          <w:bCs/>
          <w:color w:val="auto"/>
          <w:kern w:val="0"/>
          <w:sz w:val="24"/>
          <w:highlight w:val="none"/>
          <w:lang w:val="en-US" w:eastAsia="zh-CN"/>
        </w:rPr>
        <w:t>（二）</w:t>
      </w:r>
      <w:r>
        <w:rPr>
          <w:rFonts w:hint="eastAsia" w:ascii="宋体" w:hAnsi="宋体" w:cs="宋体"/>
          <w:bCs/>
          <w:color w:val="auto"/>
          <w:kern w:val="0"/>
          <w:sz w:val="24"/>
          <w:highlight w:val="none"/>
          <w:lang w:eastAsia="zh-CN"/>
        </w:rPr>
        <w:t>原车牌号</w:t>
      </w:r>
      <w:r>
        <w:rPr>
          <w:rFonts w:hint="eastAsia" w:ascii="宋体" w:hAnsi="宋体" w:cs="宋体"/>
          <w:bCs/>
          <w:color w:val="auto"/>
          <w:kern w:val="0"/>
          <w:sz w:val="24"/>
          <w:highlight w:val="none"/>
        </w:rPr>
        <w:t>不属于本次拍</w:t>
      </w:r>
      <w:r>
        <w:rPr>
          <w:rFonts w:hint="eastAsia" w:ascii="宋体" w:hAnsi="宋体" w:cs="宋体"/>
          <w:bCs/>
          <w:color w:val="auto"/>
          <w:kern w:val="0"/>
          <w:sz w:val="24"/>
        </w:rPr>
        <w:t>卖范围</w:t>
      </w:r>
      <w:r>
        <w:rPr>
          <w:rFonts w:hint="eastAsia" w:ascii="宋体" w:hAnsi="宋体" w:eastAsia="宋体" w:cs="宋体"/>
          <w:sz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lang w:eastAsia="zh-CN"/>
        </w:rPr>
        <w:t>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pPr>
        <w:keepNext w:val="0"/>
        <w:keepLines w:val="0"/>
        <w:pageBreakBefore w:val="0"/>
        <w:kinsoku/>
        <w:wordWrap/>
        <w:overflowPunct/>
        <w:topLinePunct w:val="0"/>
        <w:autoSpaceDE/>
        <w:autoSpaceDN/>
        <w:bidi w:val="0"/>
        <w:adjustRightInd/>
        <w:snapToGrid w:val="0"/>
        <w:spacing w:line="52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第五条  标的物特别说明（具体以委托人与买受人签订的合同为准）</w:t>
      </w:r>
    </w:p>
    <w:p>
      <w:pPr>
        <w:keepNext w:val="0"/>
        <w:keepLines w:val="0"/>
        <w:pageBreakBefore w:val="0"/>
        <w:kinsoku/>
        <w:wordWrap/>
        <w:overflowPunct/>
        <w:topLinePunct w:val="0"/>
        <w:autoSpaceDE/>
        <w:autoSpaceDN/>
        <w:bidi w:val="0"/>
        <w:adjustRightInd/>
        <w:snapToGrid w:val="0"/>
        <w:spacing w:line="52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竞买人须自愿接受下列条款以及《</w:t>
      </w:r>
      <w:r>
        <w:rPr>
          <w:rFonts w:hint="eastAsia" w:ascii="宋体" w:hAnsi="宋体"/>
          <w:b/>
          <w:color w:val="000000" w:themeColor="text1"/>
          <w:sz w:val="24"/>
          <w:lang w:eastAsia="zh-CN"/>
          <w14:textFill>
            <w14:solidFill>
              <w14:schemeClr w14:val="tx1"/>
            </w14:solidFill>
          </w14:textFill>
        </w:rPr>
        <w:t>旧机动车转让协议</w:t>
      </w:r>
      <w:r>
        <w:rPr>
          <w:rFonts w:hint="eastAsia" w:ascii="宋体" w:hAnsi="宋体"/>
          <w:b/>
          <w:color w:val="000000" w:themeColor="text1"/>
          <w:sz w:val="24"/>
          <w14:textFill>
            <w14:solidFill>
              <w14:schemeClr w14:val="tx1"/>
            </w14:solidFill>
          </w14:textFill>
        </w:rPr>
        <w:t>（样本）》条款方可参加拍卖：</w:t>
      </w:r>
    </w:p>
    <w:p>
      <w:pPr>
        <w:keepNext w:val="0"/>
        <w:keepLines w:val="0"/>
        <w:pageBreakBefore w:val="0"/>
        <w:kinsoku/>
        <w:wordWrap/>
        <w:overflowPunct/>
        <w:topLinePunct w:val="0"/>
        <w:autoSpaceDE/>
        <w:autoSpaceDN/>
        <w:bidi w:val="0"/>
        <w:adjustRightInd/>
        <w:spacing w:line="520" w:lineRule="exact"/>
        <w:ind w:firstLine="481"/>
        <w:jc w:val="left"/>
        <w:textAlignment w:val="auto"/>
        <w:rPr>
          <w:rFonts w:hint="eastAsia" w:ascii="宋体" w:hAnsi="宋体" w:cs="宋体"/>
          <w:kern w:val="0"/>
          <w:sz w:val="24"/>
        </w:rPr>
      </w:pPr>
      <w:r>
        <w:rPr>
          <w:rFonts w:hint="eastAsia" w:ascii="宋体" w:hAnsi="宋体" w:cs="宋体"/>
          <w:color w:val="auto"/>
          <w:sz w:val="24"/>
          <w:highlight w:val="none"/>
          <w:lang w:val="en-US" w:eastAsia="zh-CN"/>
        </w:rPr>
        <w:t>（一）</w:t>
      </w:r>
      <w:r>
        <w:rPr>
          <w:rFonts w:hint="eastAsia" w:ascii="宋体" w:hAnsi="宋体" w:cs="宋体"/>
          <w:kern w:val="0"/>
          <w:sz w:val="24"/>
        </w:rPr>
        <w:t>拍卖标的由买受人自行提取，提取过程中及提取后所发生的各类风险、安全责任及产生的费用由买受人自行承担。</w:t>
      </w:r>
    </w:p>
    <w:p>
      <w:pPr>
        <w:keepNext w:val="0"/>
        <w:keepLines w:val="0"/>
        <w:pageBreakBefore w:val="0"/>
        <w:kinsoku/>
        <w:wordWrap/>
        <w:overflowPunct/>
        <w:topLinePunct w:val="0"/>
        <w:autoSpaceDE/>
        <w:autoSpaceDN/>
        <w:bidi w:val="0"/>
        <w:adjustRightInd/>
        <w:spacing w:line="520" w:lineRule="exact"/>
        <w:ind w:firstLine="481"/>
        <w:jc w:val="left"/>
        <w:textAlignment w:val="auto"/>
        <w:rPr>
          <w:rFonts w:hint="eastAsia" w:ascii="宋体" w:hAnsi="宋体" w:cs="宋体"/>
          <w:kern w:val="0"/>
          <w:sz w:val="24"/>
        </w:rPr>
      </w:pPr>
      <w:r>
        <w:rPr>
          <w:rFonts w:hint="eastAsia" w:ascii="宋体" w:hAnsi="宋体" w:cs="宋体"/>
          <w:b w:val="0"/>
          <w:bCs/>
          <w:color w:val="auto"/>
          <w:kern w:val="0"/>
          <w:sz w:val="24"/>
          <w:highlight w:val="none"/>
          <w:lang w:val="en-US" w:eastAsia="zh-CN"/>
        </w:rPr>
        <w:t>（二）</w:t>
      </w:r>
      <w:r>
        <w:rPr>
          <w:rFonts w:hint="eastAsia" w:ascii="宋体" w:hAnsi="宋体" w:cs="宋体"/>
          <w:kern w:val="0"/>
          <w:sz w:val="24"/>
        </w:rPr>
        <w:t>拍卖标的交易、过户手续须在</w:t>
      </w:r>
      <w:r>
        <w:rPr>
          <w:rFonts w:hint="eastAsia" w:ascii="宋体" w:hAnsi="宋体" w:cs="宋体"/>
          <w:kern w:val="0"/>
          <w:sz w:val="24"/>
          <w:lang w:val="en-US" w:eastAsia="zh-CN"/>
        </w:rPr>
        <w:t>2024</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日下</w:t>
      </w:r>
      <w:r>
        <w:rPr>
          <w:rFonts w:hint="eastAsia" w:ascii="宋体" w:hAnsi="宋体" w:cs="宋体"/>
          <w:color w:val="000000"/>
          <w:kern w:val="0"/>
          <w:sz w:val="24"/>
        </w:rPr>
        <w:t>午4时前完成</w:t>
      </w:r>
      <w:r>
        <w:rPr>
          <w:rFonts w:hint="eastAsia" w:cs="宋体"/>
          <w:b/>
          <w:bCs/>
          <w:color w:val="000000"/>
          <w:sz w:val="24"/>
          <w:szCs w:val="24"/>
        </w:rPr>
        <w:t>（因</w:t>
      </w:r>
      <w:r>
        <w:rPr>
          <w:rFonts w:hint="eastAsia" w:cs="宋体"/>
          <w:b/>
          <w:bCs/>
          <w:color w:val="000000"/>
          <w:sz w:val="24"/>
          <w:szCs w:val="24"/>
          <w:lang w:eastAsia="zh-CN"/>
        </w:rPr>
        <w:t>委托人</w:t>
      </w:r>
      <w:r>
        <w:rPr>
          <w:rFonts w:hint="eastAsia" w:cs="宋体"/>
          <w:b/>
          <w:bCs/>
          <w:color w:val="000000"/>
          <w:sz w:val="24"/>
          <w:szCs w:val="24"/>
        </w:rPr>
        <w:t>的原因造成未能按时过户的除外）</w:t>
      </w:r>
      <w:r>
        <w:rPr>
          <w:rFonts w:hint="eastAsia" w:ascii="宋体" w:hAnsi="宋体" w:cs="宋体"/>
          <w:color w:val="000000"/>
          <w:kern w:val="0"/>
          <w:sz w:val="24"/>
        </w:rPr>
        <w:t>，相关手续由买受人自行办理，委托人予以协助，相关的税费</w:t>
      </w:r>
      <w:r>
        <w:rPr>
          <w:rFonts w:hint="eastAsia" w:ascii="宋体" w:hAnsi="宋体" w:cs="宋体"/>
          <w:kern w:val="0"/>
          <w:sz w:val="24"/>
        </w:rPr>
        <w:t>及其他费用（包括但不限于补证、年检、</w:t>
      </w:r>
      <w:r>
        <w:rPr>
          <w:rFonts w:hint="eastAsia" w:ascii="宋体" w:hAnsi="宋体" w:cs="宋体"/>
          <w:kern w:val="0"/>
          <w:sz w:val="24"/>
          <w:lang w:eastAsia="zh-CN"/>
        </w:rPr>
        <w:t>车辆变色、车身标识标牌清除、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、保险、过户、各种所欠的规费等）均由买受人承担。</w:t>
      </w:r>
    </w:p>
    <w:p>
      <w:pPr>
        <w:keepNext w:val="0"/>
        <w:keepLines w:val="0"/>
        <w:pageBreakBefore w:val="0"/>
        <w:kinsoku/>
        <w:wordWrap/>
        <w:overflowPunct/>
        <w:topLinePunct w:val="0"/>
        <w:autoSpaceDE/>
        <w:autoSpaceDN/>
        <w:bidi w:val="0"/>
        <w:adjustRightInd/>
        <w:spacing w:line="520" w:lineRule="exact"/>
        <w:ind w:firstLine="481"/>
        <w:jc w:val="left"/>
        <w:textAlignment w:val="auto"/>
        <w:rPr>
          <w:rFonts w:hint="eastAsia" w:ascii="宋体" w:hAnsi="宋体" w:eastAsia="宋体" w:cs="宋体"/>
          <w:sz w:val="24"/>
          <w:highlight w:val="yellow"/>
        </w:rPr>
      </w:pPr>
      <w:r>
        <w:rPr>
          <w:rFonts w:hint="eastAsia" w:ascii="宋体" w:hAnsi="宋体" w:cs="宋体"/>
          <w:kern w:val="0"/>
          <w:sz w:val="24"/>
          <w:lang w:val="en-US" w:eastAsia="zh-CN"/>
        </w:rPr>
        <w:t>（三）</w:t>
      </w:r>
      <w:r>
        <w:rPr>
          <w:rFonts w:hint="eastAsia" w:ascii="宋体" w:hAnsi="宋体" w:cs="宋体"/>
          <w:kern w:val="0"/>
          <w:sz w:val="24"/>
        </w:rPr>
        <w:t>过户后新的车辆转籍证明、行驶证等相关证件必须与买受人名称一致。未能按时办理过户手续的</w:t>
      </w:r>
      <w:r>
        <w:rPr>
          <w:rFonts w:hint="eastAsia" w:ascii="宋体" w:hAnsi="宋体"/>
          <w:color w:val="000000"/>
          <w:sz w:val="24"/>
        </w:rPr>
        <w:t>或相关证件与买受人名称不一致的</w:t>
      </w:r>
      <w:r>
        <w:rPr>
          <w:rFonts w:hint="eastAsia" w:ascii="宋体" w:hAnsi="宋体" w:cs="宋体"/>
          <w:kern w:val="0"/>
          <w:sz w:val="24"/>
        </w:rPr>
        <w:t>，属违约，买受人的竞买保证金将不予返还。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color w:val="000000" w:themeColor="text1"/>
          <w:sz w:val="24"/>
          <w14:textFill>
            <w14:solidFill>
              <w14:schemeClr w14:val="tx1"/>
            </w14:solidFill>
          </w14:textFill>
        </w:rPr>
      </w:pPr>
      <w:r>
        <w:rPr>
          <w:rFonts w:hint="eastAsia" w:ascii="宋体" w:hAnsi="宋体" w:eastAsia="宋体" w:cs="宋体"/>
          <w:kern w:val="0"/>
          <w:sz w:val="24"/>
          <w:lang w:eastAsia="zh-CN"/>
        </w:rPr>
        <w:t>（四）</w:t>
      </w:r>
      <w:r>
        <w:rPr>
          <w:rFonts w:hint="eastAsia" w:ascii="宋体" w:hAnsi="宋体" w:eastAsia="宋体" w:cs="宋体"/>
          <w:kern w:val="0"/>
          <w:sz w:val="24"/>
        </w:rPr>
        <w:t>其他内容见《</w:t>
      </w:r>
      <w:r>
        <w:rPr>
          <w:rFonts w:hint="eastAsia" w:ascii="宋体" w:hAnsi="宋体" w:eastAsia="宋体" w:cs="宋体"/>
          <w:kern w:val="0"/>
          <w:sz w:val="24"/>
          <w:lang w:eastAsia="zh-CN"/>
        </w:rPr>
        <w:t>旧机动车转让协议（样本）</w:t>
      </w:r>
      <w:r>
        <w:rPr>
          <w:rFonts w:hint="eastAsia" w:ascii="宋体" w:hAnsi="宋体" w:eastAsia="宋体" w:cs="宋体"/>
          <w:kern w:val="0"/>
          <w:sz w:val="24"/>
        </w:rPr>
        <w:t>》</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拍卖前期活动</w:t>
      </w:r>
    </w:p>
    <w:p>
      <w:pPr>
        <w:keepNext w:val="0"/>
        <w:keepLines w:val="0"/>
        <w:pageBreakBefore w:val="0"/>
        <w:tabs>
          <w:tab w:val="left" w:pos="1995"/>
        </w:tabs>
        <w:kinsoku/>
        <w:wordWrap/>
        <w:overflowPunct/>
        <w:topLinePunct w:val="0"/>
        <w:autoSpaceDE/>
        <w:autoSpaceDN/>
        <w:bidi w:val="0"/>
        <w:adjustRightInd/>
        <w:spacing w:line="52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第六条 </w:t>
      </w:r>
      <w:r>
        <w:rPr>
          <w:rFonts w:hint="eastAsia" w:ascii="宋体" w:hAnsi="宋体"/>
          <w:color w:val="000000" w:themeColor="text1"/>
          <w:sz w:val="24"/>
          <w14:textFill>
            <w14:solidFill>
              <w14:schemeClr w14:val="tx1"/>
            </w14:solidFill>
          </w14:textFill>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pPr>
        <w:keepNext w:val="0"/>
        <w:keepLines w:val="0"/>
        <w:pageBreakBefore w:val="0"/>
        <w:tabs>
          <w:tab w:val="left" w:pos="1995"/>
        </w:tabs>
        <w:kinsoku/>
        <w:wordWrap/>
        <w:overflowPunct/>
        <w:topLinePunct w:val="0"/>
        <w:autoSpaceDE/>
        <w:autoSpaceDN/>
        <w:bidi w:val="0"/>
        <w:adjustRightInd/>
        <w:spacing w:line="52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若拍卖文件需要修正或补充的，拍卖人可以在举行拍卖会之前告知竞买人。如修正或补充内容涉及实质性变化的，须重新计算公告期。竞买人一经参拍或应价的，均视为已接受此修正或补充。</w:t>
      </w:r>
    </w:p>
    <w:p>
      <w:pPr>
        <w:keepNext w:val="0"/>
        <w:keepLines w:val="0"/>
        <w:pageBreakBefore w:val="0"/>
        <w:tabs>
          <w:tab w:val="left" w:pos="1995"/>
        </w:tabs>
        <w:kinsoku/>
        <w:wordWrap/>
        <w:overflowPunct/>
        <w:topLinePunct w:val="0"/>
        <w:autoSpaceDE/>
        <w:autoSpaceDN/>
        <w:bidi w:val="0"/>
        <w:adjustRightInd/>
        <w:spacing w:line="52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在拍卖会举行前，如委托人决定中止、暂缓或终止委托拍卖的，则竞买人应当无条件的予以接受，交纳的竞买保证金予以退还(按银行同期活期存款利率计息），委托人和拍卖人不承担竞买人的一切损失。</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第七条</w:t>
      </w:r>
      <w:r>
        <w:rPr>
          <w:rFonts w:hint="eastAsia" w:ascii="宋体" w:hAnsi="宋体"/>
          <w:color w:val="000000" w:themeColor="text1"/>
          <w:sz w:val="24"/>
          <w14:textFill>
            <w14:solidFill>
              <w14:schemeClr w14:val="tx1"/>
            </w14:solidFill>
          </w14:textFill>
        </w:rPr>
        <w:t xml:space="preserve">  竞买人应在报名登记前按时、足额交纳竞买保证金（按银行同期活期存款利率计息）。</w:t>
      </w:r>
    </w:p>
    <w:p>
      <w:pPr>
        <w:keepNext w:val="0"/>
        <w:keepLines w:val="0"/>
        <w:pageBreakBefore w:val="0"/>
        <w:kinsoku/>
        <w:wordWrap/>
        <w:overflowPunct/>
        <w:topLinePunct w:val="0"/>
        <w:autoSpaceDE/>
        <w:autoSpaceDN/>
        <w:bidi w:val="0"/>
        <w:adjustRightInd/>
        <w:spacing w:line="52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（一）竞买人在竞价平台上注册的账户和密码是参加平台竞价的必要依据，应自行慎重保管，若因转交他人、遗忘或被盗等产生的结果及可能导致的纠纷和经济损失，均由竞买人自行负全责，与拍卖人无涉。</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宋体" w:hAnsi="宋体"/>
          <w:b/>
          <w:color w:val="000000" w:themeColor="text1"/>
          <w:sz w:val="24"/>
          <w14:textFill>
            <w14:solidFill>
              <w14:schemeClr w14:val="tx1"/>
            </w14:solidFill>
          </w14:textFill>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网络拍卖</w:t>
      </w:r>
    </w:p>
    <w:p>
      <w:pPr>
        <w:keepNext w:val="0"/>
        <w:keepLines w:val="0"/>
        <w:pageBreakBefore w:val="0"/>
        <w:kinsoku/>
        <w:wordWrap/>
        <w:overflowPunct/>
        <w:topLinePunct w:val="0"/>
        <w:autoSpaceDE/>
        <w:autoSpaceDN/>
        <w:bidi w:val="0"/>
        <w:adjustRightInd/>
        <w:snapToGrid w:val="0"/>
        <w:spacing w:line="520" w:lineRule="exact"/>
        <w:ind w:firstLine="482"/>
        <w:jc w:val="left"/>
        <w:textAlignment w:val="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14:textFill>
            <w14:solidFill>
              <w14:schemeClr w14:val="tx1"/>
            </w14:solidFill>
          </w14:textFill>
        </w:rPr>
        <w:t>八</w:t>
      </w:r>
      <w:r>
        <w:rPr>
          <w:rFonts w:ascii="宋体" w:hAnsi="宋体"/>
          <w:b/>
          <w:bCs/>
          <w:color w:val="000000" w:themeColor="text1"/>
          <w:sz w:val="24"/>
          <w14:textFill>
            <w14:solidFill>
              <w14:schemeClr w14:val="tx1"/>
            </w14:solidFill>
          </w14:textFill>
        </w:rPr>
        <w:t>条</w:t>
      </w:r>
      <w:r>
        <w:rPr>
          <w:rFonts w:hint="eastAsia" w:ascii="宋体" w:hAnsi="宋体"/>
          <w:color w:val="000000" w:themeColor="text1"/>
          <w:sz w:val="24"/>
          <w14:textFill>
            <w14:solidFill>
              <w14:schemeClr w14:val="tx1"/>
            </w14:solidFill>
          </w14:textFill>
        </w:rPr>
        <w:t xml:space="preserve"> 本次拍卖标的经过规定的报刊、网络发布公告，并经实地展示，在“宁波阳明拍卖有限公司网络拍卖平台”进行公开拍卖。拍卖计价货币为人民币，拍卖时的起拍价、成交价均为裸价，不包含任何税、费及买受佣金。</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温馨提示：①在竞价前，竞买人应选择良好的网络环境下进行电脑操作；②在竞价过程中，竞买人应仔细核对报价金额是否有误；③为确保竞价过程顺利进行，应适时刷新页面。</w:t>
      </w:r>
    </w:p>
    <w:p>
      <w:pPr>
        <w:keepNext w:val="0"/>
        <w:keepLines w:val="0"/>
        <w:pageBreakBefore w:val="0"/>
        <w:kinsoku/>
        <w:wordWrap/>
        <w:overflowPunct/>
        <w:topLinePunct w:val="0"/>
        <w:autoSpaceDE/>
        <w:autoSpaceDN/>
        <w:bidi w:val="0"/>
        <w:adjustRightInd/>
        <w:snapToGrid w:val="0"/>
        <w:spacing w:line="52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keepNext w:val="0"/>
        <w:keepLines w:val="0"/>
        <w:pageBreakBefore w:val="0"/>
        <w:kinsoku/>
        <w:wordWrap/>
        <w:overflowPunct/>
        <w:topLinePunct w:val="0"/>
        <w:autoSpaceDE/>
        <w:autoSpaceDN/>
        <w:bidi w:val="0"/>
        <w:adjustRightInd/>
        <w:snapToGrid w:val="0"/>
        <w:spacing w:line="52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第九条 </w:t>
      </w:r>
      <w:r>
        <w:rPr>
          <w:rFonts w:hint="eastAsia" w:ascii="宋体" w:hAnsi="宋体"/>
          <w:color w:val="000000" w:themeColor="text1"/>
          <w:sz w:val="24"/>
          <w14:textFill>
            <w14:solidFill>
              <w14:schemeClr w14:val="tx1"/>
            </w14:solidFill>
          </w14:textFill>
        </w:rPr>
        <w:t xml:space="preserve"> 买受人须在成交当日（截止下午5时）到拍卖人处签署《拍卖成交确认书》等拍卖文件。上述文件不论买受人是否签署，其全部条款即对买受人产生约束力并生效。</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第十条  特别注意事项：用户的网站注册人名称必须与竞买保证金交纳人名称、买受人名称一致，否则造成的损失和后果由竞买人自行承担，与拍卖人、委托人无关。</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拍卖后期工作</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482"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第十一条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未竞得拍卖标的的竞买人，在拍卖会结束后的3个工作日内，由拍卖人凭竞买人报名时登记的户名及账号退还竞买保证金（按银行同期活期存款利率计息）；</w:t>
      </w:r>
      <w:r>
        <w:rPr>
          <w:rFonts w:hint="eastAsia" w:ascii="宋体" w:hAnsi="宋体" w:cs="宋体"/>
          <w:kern w:val="0"/>
          <w:sz w:val="24"/>
        </w:rPr>
        <w:t>买受人交纳的竞买保证金转为</w:t>
      </w:r>
      <w:r>
        <w:rPr>
          <w:rFonts w:hint="eastAsia" w:ascii="宋体" w:hAnsi="宋体" w:cs="宋体"/>
          <w:kern w:val="0"/>
          <w:sz w:val="24"/>
          <w:lang w:eastAsia="zh-CN"/>
        </w:rPr>
        <w:t>合同期间的</w:t>
      </w:r>
      <w:r>
        <w:rPr>
          <w:rFonts w:hint="eastAsia" w:ascii="宋体" w:hAnsi="宋体" w:cs="宋体"/>
          <w:kern w:val="0"/>
          <w:sz w:val="24"/>
        </w:rPr>
        <w:t>履约保证金，过户后凭旧机动车交易发票（须按拍卖成交款原值开具）、新的车辆转籍证明、车辆行驶证、</w:t>
      </w:r>
      <w:r>
        <w:rPr>
          <w:rFonts w:hint="eastAsia" w:ascii="宋体" w:hAnsi="宋体"/>
          <w:sz w:val="24"/>
        </w:rPr>
        <w:t>《</w:t>
      </w:r>
      <w:r>
        <w:rPr>
          <w:rFonts w:hint="eastAsia" w:ascii="宋体" w:hAnsi="宋体"/>
          <w:sz w:val="24"/>
          <w:lang w:eastAsia="zh-CN"/>
        </w:rPr>
        <w:t>旧机动车转让协议</w:t>
      </w:r>
      <w:r>
        <w:rPr>
          <w:rFonts w:hint="eastAsia" w:ascii="宋体" w:hAnsi="宋体"/>
          <w:sz w:val="24"/>
        </w:rPr>
        <w:t>》</w:t>
      </w:r>
      <w:r>
        <w:rPr>
          <w:rFonts w:hint="eastAsia" w:ascii="宋体" w:hAnsi="宋体" w:cs="宋体"/>
          <w:kern w:val="0"/>
          <w:sz w:val="24"/>
        </w:rPr>
        <w:t>到拍卖人处退还</w:t>
      </w:r>
      <w:r>
        <w:rPr>
          <w:rFonts w:hint="eastAsia" w:ascii="宋体" w:hAnsi="宋体"/>
          <w:color w:val="auto"/>
          <w:sz w:val="24"/>
        </w:rPr>
        <w:t>（按银行同期活期存款利率计息）。</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520" w:lineRule="exact"/>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如未收到竞买保证金的，请及时与拍卖人联系（0574-62727901）。</w:t>
      </w:r>
    </w:p>
    <w:p>
      <w:pPr>
        <w:keepNext w:val="0"/>
        <w:keepLines w:val="0"/>
        <w:pageBreakBefore w:val="0"/>
        <w:numPr>
          <w:ilvl w:val="0"/>
          <w:numId w:val="0"/>
        </w:numPr>
        <w:kinsoku/>
        <w:wordWrap/>
        <w:overflowPunct/>
        <w:topLinePunct w:val="0"/>
        <w:autoSpaceDE/>
        <w:autoSpaceDN/>
        <w:bidi w:val="0"/>
        <w:adjustRightInd/>
        <w:spacing w:line="520" w:lineRule="exact"/>
        <w:ind w:firstLine="482" w:firstLineChars="200"/>
        <w:textAlignment w:val="auto"/>
        <w:rPr>
          <w:rFonts w:hint="default" w:ascii="宋体" w:hAnsi="宋体"/>
          <w:color w:val="auto"/>
          <w:sz w:val="24"/>
          <w:lang w:eastAsia="zh-CN"/>
        </w:rPr>
      </w:pPr>
      <w:r>
        <w:rPr>
          <w:rFonts w:hint="eastAsia" w:ascii="宋体" w:hAnsi="宋体"/>
          <w:b/>
          <w:bCs/>
          <w:color w:val="000000" w:themeColor="text1"/>
          <w:sz w:val="24"/>
          <w14:textFill>
            <w14:solidFill>
              <w14:schemeClr w14:val="tx1"/>
            </w14:solidFill>
          </w14:textFill>
        </w:rPr>
        <w:t>第十</w:t>
      </w:r>
      <w:r>
        <w:rPr>
          <w:rFonts w:hint="eastAsia" w:ascii="宋体" w:hAnsi="宋体"/>
          <w:b/>
          <w:bCs/>
          <w:color w:val="000000" w:themeColor="text1"/>
          <w:sz w:val="24"/>
          <w:lang w:eastAsia="zh-CN"/>
          <w14:textFill>
            <w14:solidFill>
              <w14:schemeClr w14:val="tx1"/>
            </w14:solidFill>
          </w14:textFill>
        </w:rPr>
        <w:t>二</w:t>
      </w:r>
      <w:r>
        <w:rPr>
          <w:rFonts w:hint="eastAsia" w:ascii="宋体" w:hAnsi="宋体"/>
          <w:b/>
          <w:bCs/>
          <w:color w:val="000000" w:themeColor="text1"/>
          <w:sz w:val="24"/>
          <w14:textFill>
            <w14:solidFill>
              <w14:schemeClr w14:val="tx1"/>
            </w14:solidFill>
          </w14:textFill>
        </w:rPr>
        <w:t>条</w:t>
      </w:r>
      <w:r>
        <w:rPr>
          <w:rFonts w:hint="eastAsia" w:ascii="宋体" w:hAnsi="宋体" w:cs="宋体"/>
          <w:b/>
          <w:color w:val="000000" w:themeColor="text1"/>
          <w:kern w:val="0"/>
          <w:sz w:val="24"/>
          <w14:textFill>
            <w14:solidFill>
              <w14:schemeClr w14:val="tx1"/>
            </w14:solidFill>
          </w14:textFill>
        </w:rPr>
        <w:t xml:space="preserve"> 付款办法及签约时间:</w:t>
      </w:r>
      <w:bookmarkStart w:id="0" w:name="_Hlk122379280"/>
      <w:r>
        <w:rPr>
          <w:rFonts w:hint="eastAsia" w:ascii="宋体" w:hAnsi="宋体" w:cs="宋体"/>
          <w:b w:val="0"/>
          <w:bCs/>
          <w:color w:val="000000"/>
          <w:kern w:val="0"/>
          <w:sz w:val="24"/>
        </w:rPr>
        <w:t>买受人</w:t>
      </w:r>
      <w:r>
        <w:rPr>
          <w:rFonts w:hint="eastAsia" w:ascii="宋体" w:hAnsi="宋体" w:eastAsia="宋体" w:cs="宋体"/>
          <w:b w:val="0"/>
          <w:bCs/>
          <w:color w:val="auto"/>
          <w:kern w:val="0"/>
          <w:sz w:val="24"/>
        </w:rPr>
        <w:t>须在</w:t>
      </w:r>
      <w:r>
        <w:rPr>
          <w:rFonts w:hint="eastAsia" w:ascii="宋体" w:hAnsi="宋体" w:cs="宋体"/>
          <w:kern w:val="0"/>
          <w:sz w:val="24"/>
          <w:szCs w:val="24"/>
          <w:lang w:val="en-US" w:eastAsia="zh-CN"/>
        </w:rPr>
        <w:t>2024</w:t>
      </w:r>
      <w:r>
        <w:rPr>
          <w:rFonts w:hint="eastAsia" w:ascii="宋体" w:hAnsi="宋体" w:cs="宋体"/>
          <w:kern w:val="0"/>
          <w:sz w:val="24"/>
          <w:szCs w:val="24"/>
        </w:rPr>
        <w:t>年</w:t>
      </w:r>
      <w:r>
        <w:rPr>
          <w:rFonts w:hint="eastAsia" w:ascii="宋体" w:hAnsi="宋体" w:cs="宋体"/>
          <w:kern w:val="0"/>
          <w:sz w:val="24"/>
          <w:szCs w:val="24"/>
          <w:lang w:val="en-US" w:eastAsia="zh-CN"/>
        </w:rPr>
        <w:t>3</w:t>
      </w:r>
      <w:r>
        <w:rPr>
          <w:rFonts w:hint="eastAsia" w:ascii="宋体" w:hAnsi="宋体" w:cs="宋体"/>
          <w:kern w:val="0"/>
          <w:sz w:val="24"/>
          <w:szCs w:val="24"/>
        </w:rPr>
        <w:t>月</w:t>
      </w:r>
      <w:r>
        <w:rPr>
          <w:rFonts w:hint="eastAsia" w:ascii="宋体" w:hAnsi="宋体" w:cs="宋体"/>
          <w:kern w:val="0"/>
          <w:sz w:val="24"/>
          <w:szCs w:val="24"/>
          <w:lang w:val="en-US" w:eastAsia="zh-CN"/>
        </w:rPr>
        <w:t>20</w:t>
      </w:r>
      <w:r>
        <w:rPr>
          <w:rFonts w:ascii="宋体" w:hAnsi="宋体" w:cs="宋体"/>
          <w:color w:val="auto"/>
          <w:kern w:val="0"/>
          <w:sz w:val="24"/>
        </w:rPr>
        <w:t>日下午4时</w:t>
      </w:r>
      <w:r>
        <w:rPr>
          <w:rFonts w:hint="eastAsia" w:ascii="宋体" w:hAnsi="宋体" w:cs="宋体"/>
          <w:color w:val="auto"/>
          <w:kern w:val="0"/>
          <w:sz w:val="24"/>
        </w:rPr>
        <w:t>前（</w:t>
      </w:r>
      <w:r>
        <w:rPr>
          <w:rFonts w:ascii="宋体" w:hAnsi="宋体" w:cs="宋体"/>
          <w:b/>
          <w:bCs/>
          <w:color w:val="auto"/>
          <w:kern w:val="0"/>
          <w:sz w:val="24"/>
        </w:rPr>
        <w:t>以实际到账为准）</w:t>
      </w:r>
      <w:r>
        <w:rPr>
          <w:rFonts w:ascii="宋体" w:hAnsi="宋体" w:cs="宋体"/>
          <w:color w:val="auto"/>
          <w:kern w:val="0"/>
          <w:sz w:val="24"/>
        </w:rPr>
        <w:t>向</w:t>
      </w:r>
      <w:r>
        <w:rPr>
          <w:rFonts w:hint="eastAsia" w:ascii="宋体" w:hAnsi="宋体" w:cs="宋体"/>
          <w:kern w:val="0"/>
          <w:sz w:val="24"/>
        </w:rPr>
        <w:t>拍卖人一次性付清拍卖成交款和拍卖成交价5%的买受佣金</w:t>
      </w:r>
      <w:r>
        <w:rPr>
          <w:rFonts w:hint="eastAsia" w:ascii="宋体" w:hAnsi="宋体" w:cs="宋体"/>
          <w:kern w:val="0"/>
          <w:sz w:val="24"/>
          <w:lang w:eastAsia="zh-CN"/>
        </w:rPr>
        <w:t>，</w:t>
      </w:r>
      <w:r>
        <w:rPr>
          <w:rFonts w:hint="eastAsia" w:ascii="宋体" w:hAnsi="宋体" w:cs="宋体"/>
          <w:color w:val="000000"/>
          <w:kern w:val="0"/>
          <w:sz w:val="24"/>
          <w:lang w:val="en-US" w:eastAsia="zh-CN"/>
        </w:rPr>
        <w:t>然后</w:t>
      </w:r>
      <w:r>
        <w:rPr>
          <w:rFonts w:hint="eastAsia" w:ascii="宋体" w:hAnsi="宋体" w:cs="宋体"/>
          <w:color w:val="000000"/>
          <w:kern w:val="0"/>
          <w:sz w:val="24"/>
        </w:rPr>
        <w:t>于</w:t>
      </w:r>
      <w:r>
        <w:rPr>
          <w:rFonts w:hint="eastAsia" w:ascii="宋体" w:hAnsi="宋体" w:cs="宋体"/>
          <w:color w:val="000000"/>
          <w:kern w:val="0"/>
          <w:sz w:val="24"/>
          <w:lang w:val="en-US" w:eastAsia="zh-CN"/>
        </w:rPr>
        <w:t>2024</w:t>
      </w:r>
      <w:r>
        <w:rPr>
          <w:rFonts w:hint="eastAsia" w:ascii="宋体" w:hAnsi="宋体" w:cs="宋体"/>
          <w:color w:val="000000"/>
          <w:kern w:val="0"/>
          <w:sz w:val="24"/>
        </w:rPr>
        <w:t>年</w:t>
      </w:r>
      <w:r>
        <w:rPr>
          <w:rFonts w:hint="eastAsia" w:ascii="宋体" w:hAnsi="宋体" w:cs="宋体"/>
          <w:color w:val="000000"/>
          <w:kern w:val="0"/>
          <w:sz w:val="24"/>
          <w:lang w:val="en-US" w:eastAsia="zh-CN"/>
        </w:rPr>
        <w:t>3</w:t>
      </w:r>
      <w:r>
        <w:rPr>
          <w:rFonts w:hint="eastAsia" w:ascii="宋体" w:hAnsi="宋体" w:cs="宋体"/>
          <w:color w:val="000000"/>
          <w:kern w:val="0"/>
          <w:sz w:val="24"/>
        </w:rPr>
        <w:t>月</w:t>
      </w:r>
      <w:r>
        <w:rPr>
          <w:rFonts w:hint="eastAsia" w:ascii="宋体" w:hAnsi="宋体" w:cs="宋体"/>
          <w:color w:val="000000"/>
          <w:kern w:val="0"/>
          <w:sz w:val="24"/>
          <w:lang w:val="en-US" w:eastAsia="zh-CN"/>
        </w:rPr>
        <w:t>21</w:t>
      </w:r>
      <w:r>
        <w:rPr>
          <w:rFonts w:hint="eastAsia" w:ascii="宋体" w:hAnsi="宋体" w:cs="宋体"/>
          <w:color w:val="000000"/>
          <w:kern w:val="0"/>
          <w:sz w:val="24"/>
        </w:rPr>
        <w:t>日</w:t>
      </w:r>
      <w:r>
        <w:rPr>
          <w:rFonts w:hint="eastAsia" w:ascii="宋体" w:hAnsi="宋体" w:cs="宋体"/>
          <w:color w:val="000000"/>
          <w:kern w:val="0"/>
          <w:sz w:val="24"/>
          <w:lang w:val="en-US" w:eastAsia="zh-CN"/>
        </w:rPr>
        <w:t>-3</w:t>
      </w:r>
      <w:r>
        <w:rPr>
          <w:rFonts w:hint="eastAsia" w:ascii="宋体" w:hAnsi="宋体" w:cs="宋体"/>
          <w:color w:val="000000"/>
          <w:kern w:val="0"/>
          <w:sz w:val="24"/>
        </w:rPr>
        <w:t>月</w:t>
      </w:r>
      <w:r>
        <w:rPr>
          <w:rFonts w:hint="eastAsia" w:ascii="宋体" w:hAnsi="宋体" w:cs="宋体"/>
          <w:color w:val="000000"/>
          <w:kern w:val="0"/>
          <w:sz w:val="24"/>
          <w:lang w:val="en-US" w:eastAsia="zh-CN"/>
        </w:rPr>
        <w:t>22</w:t>
      </w:r>
      <w:r>
        <w:rPr>
          <w:rFonts w:hint="eastAsia" w:ascii="宋体" w:hAnsi="宋体" w:cs="宋体"/>
          <w:color w:val="000000"/>
          <w:kern w:val="0"/>
          <w:sz w:val="24"/>
        </w:rPr>
        <w:t>日（上午9:00-11:00，下午2:00-4:00，节假</w:t>
      </w:r>
      <w:r>
        <w:rPr>
          <w:rFonts w:hint="eastAsia" w:ascii="宋体" w:hAnsi="宋体" w:cs="宋体"/>
          <w:kern w:val="0"/>
          <w:sz w:val="24"/>
        </w:rPr>
        <w:t>日除外）与委托人签订《</w:t>
      </w:r>
      <w:r>
        <w:rPr>
          <w:rFonts w:hint="eastAsia" w:ascii="宋体" w:hAnsi="宋体" w:cs="宋体"/>
          <w:kern w:val="0"/>
          <w:sz w:val="24"/>
          <w:lang w:eastAsia="zh-CN"/>
        </w:rPr>
        <w:t>旧</w:t>
      </w:r>
      <w:r>
        <w:rPr>
          <w:rFonts w:hint="eastAsia" w:ascii="宋体" w:hAnsi="宋体" w:cs="宋体"/>
          <w:kern w:val="0"/>
          <w:sz w:val="24"/>
        </w:rPr>
        <w:t>机动车转让协议》</w:t>
      </w:r>
      <w:r>
        <w:rPr>
          <w:rFonts w:hint="default"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sz w:val="24"/>
          <w:lang w:eastAsia="zh-CN"/>
        </w:rPr>
        <w:t>以上款项</w:t>
      </w:r>
      <w:r>
        <w:rPr>
          <w:rFonts w:hint="eastAsia" w:ascii="宋体" w:hAnsi="宋体" w:eastAsia="宋体" w:cs="宋体"/>
          <w:b/>
          <w:color w:val="auto"/>
          <w:sz w:val="24"/>
        </w:rPr>
        <w:t>请</w:t>
      </w:r>
      <w:r>
        <w:rPr>
          <w:rFonts w:hint="eastAsia" w:ascii="宋体" w:hAnsi="宋体" w:eastAsia="宋体" w:cs="宋体"/>
          <w:b/>
          <w:sz w:val="24"/>
        </w:rPr>
        <w:t>汇入拍卖人账户</w:t>
      </w:r>
      <w:r>
        <w:rPr>
          <w:rFonts w:hint="eastAsia" w:ascii="宋体" w:hAnsi="宋体" w:eastAsia="宋体" w:cs="宋体"/>
          <w:sz w:val="24"/>
        </w:rPr>
        <w:t>（户名：宁波阳明拍卖有限公司，开户行：工商银行余姚分行，账号：3901310019200036163）。</w:t>
      </w:r>
    </w:p>
    <w:p>
      <w:pPr>
        <w:keepNext w:val="0"/>
        <w:keepLines w:val="0"/>
        <w:pageBreakBefore w:val="0"/>
        <w:kinsoku/>
        <w:wordWrap/>
        <w:overflowPunct/>
        <w:topLinePunct w:val="0"/>
        <w:autoSpaceDE/>
        <w:autoSpaceDN/>
        <w:bidi w:val="0"/>
        <w:adjustRightInd/>
        <w:spacing w:line="520" w:lineRule="exact"/>
        <w:ind w:firstLine="472"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color w:val="auto"/>
          <w:kern w:val="0"/>
          <w:sz w:val="24"/>
        </w:rPr>
        <w:t>拍卖人出具买受佣金发票</w:t>
      </w:r>
      <w:r>
        <w:rPr>
          <w:rFonts w:hint="eastAsia" w:ascii="宋体" w:hAnsi="宋体" w:cs="宋体"/>
          <w:color w:val="000000"/>
          <w:kern w:val="0"/>
          <w:sz w:val="24"/>
          <w:lang w:eastAsia="zh-CN"/>
        </w:rPr>
        <w:t>和拍卖成交款收据</w:t>
      </w:r>
      <w:r>
        <w:rPr>
          <w:rFonts w:ascii="宋体" w:hAnsi="宋体" w:cs="宋体"/>
          <w:color w:val="auto"/>
          <w:kern w:val="0"/>
          <w:sz w:val="24"/>
        </w:rPr>
        <w:t>，</w:t>
      </w:r>
      <w:r>
        <w:rPr>
          <w:rFonts w:hint="eastAsia" w:ascii="宋体" w:hAnsi="宋体"/>
          <w:color w:val="auto"/>
          <w:sz w:val="24"/>
        </w:rPr>
        <w:t>委托人不提供任何票据</w:t>
      </w:r>
      <w:r>
        <w:rPr>
          <w:rFonts w:hint="eastAsia" w:ascii="宋体" w:hAnsi="宋体" w:cs="宋体"/>
          <w:color w:val="000000" w:themeColor="text1"/>
          <w:kern w:val="0"/>
          <w:sz w:val="24"/>
          <w14:textFill>
            <w14:solidFill>
              <w14:schemeClr w14:val="tx1"/>
            </w14:solidFill>
          </w14:textFill>
        </w:rPr>
        <w:t>。</w:t>
      </w:r>
      <w:bookmarkEnd w:id="0"/>
    </w:p>
    <w:p>
      <w:pPr>
        <w:keepNext w:val="0"/>
        <w:keepLines w:val="0"/>
        <w:pageBreakBefore w:val="0"/>
        <w:kinsoku/>
        <w:wordWrap/>
        <w:overflowPunct/>
        <w:topLinePunct w:val="0"/>
        <w:autoSpaceDE/>
        <w:autoSpaceDN/>
        <w:bidi w:val="0"/>
        <w:adjustRightInd/>
        <w:spacing w:line="52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第十三条  违约责任：因买受人存在未按约定签订《拍卖成交确认书》等拍卖文件或《</w:t>
      </w:r>
      <w:r>
        <w:rPr>
          <w:rFonts w:hint="eastAsia" w:ascii="宋体" w:hAnsi="宋体"/>
          <w:b/>
          <w:color w:val="000000" w:themeColor="text1"/>
          <w:sz w:val="24"/>
          <w:lang w:eastAsia="zh-CN"/>
          <w14:textFill>
            <w14:solidFill>
              <w14:schemeClr w14:val="tx1"/>
            </w14:solidFill>
          </w14:textFill>
        </w:rPr>
        <w:t>旧机动车转让协议</w:t>
      </w:r>
      <w:r>
        <w:rPr>
          <w:rFonts w:hint="eastAsia" w:ascii="宋体" w:hAnsi="宋体"/>
          <w:b/>
          <w:color w:val="000000" w:themeColor="text1"/>
          <w:sz w:val="24"/>
          <w14:textFill>
            <w14:solidFill>
              <w14:schemeClr w14:val="tx1"/>
            </w14:solidFill>
          </w14:textFill>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pPr>
        <w:keepNext w:val="0"/>
        <w:keepLines w:val="0"/>
        <w:pageBreakBefore w:val="0"/>
        <w:kinsoku/>
        <w:wordWrap/>
        <w:overflowPunct/>
        <w:topLinePunct w:val="0"/>
        <w:autoSpaceDE/>
        <w:autoSpaceDN/>
        <w:bidi w:val="0"/>
        <w:adjustRightInd/>
        <w:spacing w:line="52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pPr>
        <w:keepNext w:val="0"/>
        <w:keepLines w:val="0"/>
        <w:pageBreakBefore w:val="0"/>
        <w:kinsoku/>
        <w:wordWrap/>
        <w:overflowPunct/>
        <w:topLinePunct w:val="0"/>
        <w:autoSpaceDE/>
        <w:autoSpaceDN/>
        <w:bidi w:val="0"/>
        <w:adjustRightInd/>
        <w:spacing w:line="52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pPr>
        <w:keepNext w:val="0"/>
        <w:keepLines w:val="0"/>
        <w:pageBreakBefore w:val="0"/>
        <w:kinsoku/>
        <w:wordWrap/>
        <w:overflowPunct/>
        <w:topLinePunct w:val="0"/>
        <w:autoSpaceDE/>
        <w:autoSpaceDN/>
        <w:bidi w:val="0"/>
        <w:adjustRightInd/>
        <w:spacing w:line="520" w:lineRule="exact"/>
        <w:ind w:firstLine="475" w:firstLineChars="197"/>
        <w:textAlignment w:val="auto"/>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第十四条  标的物交付：</w:t>
      </w:r>
      <w:r>
        <w:rPr>
          <w:rFonts w:hint="eastAsia" w:ascii="宋体" w:hAnsi="宋体"/>
          <w:color w:val="000000" w:themeColor="text1"/>
          <w:sz w:val="24"/>
          <w14:textFill>
            <w14:solidFill>
              <w14:schemeClr w14:val="tx1"/>
            </w14:solidFill>
          </w14:textFill>
        </w:rPr>
        <w:t>签订《</w:t>
      </w:r>
      <w:r>
        <w:rPr>
          <w:rFonts w:hint="eastAsia" w:ascii="宋体" w:hAnsi="宋体"/>
          <w:color w:val="000000" w:themeColor="text1"/>
          <w:sz w:val="24"/>
          <w:lang w:eastAsia="zh-CN"/>
          <w14:textFill>
            <w14:solidFill>
              <w14:schemeClr w14:val="tx1"/>
            </w14:solidFill>
          </w14:textFill>
        </w:rPr>
        <w:t>旧机动车转让协议</w:t>
      </w:r>
      <w:r>
        <w:rPr>
          <w:rFonts w:hint="eastAsia" w:ascii="宋体" w:hAnsi="宋体"/>
          <w:color w:val="000000" w:themeColor="text1"/>
          <w:sz w:val="24"/>
          <w14:textFill>
            <w14:solidFill>
              <w14:schemeClr w14:val="tx1"/>
            </w14:solidFill>
          </w14:textFill>
        </w:rPr>
        <w:t>》后由委托人交付标的物给买受人</w:t>
      </w:r>
      <w:r>
        <w:rPr>
          <w:rFonts w:hint="eastAsia" w:ascii="宋体" w:hAnsi="宋体"/>
          <w:bCs/>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第十五条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旧机动车转让协议</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生效后的2个工作日内，由拍卖人将交易结果在宁波市公共资源交易电子服务系统公告5个工作日。</w:t>
      </w:r>
    </w:p>
    <w:p>
      <w:pPr>
        <w:keepNext w:val="0"/>
        <w:keepLines w:val="0"/>
        <w:pageBreakBefore w:val="0"/>
        <w:kinsoku/>
        <w:wordWrap/>
        <w:overflowPunct/>
        <w:topLinePunct w:val="0"/>
        <w:autoSpaceDE/>
        <w:autoSpaceDN/>
        <w:bidi w:val="0"/>
        <w:adjustRightInd/>
        <w:spacing w:line="52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六</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cs="宋体"/>
          <w:color w:val="000000" w:themeColor="text1"/>
          <w:kern w:val="0"/>
          <w:sz w:val="24"/>
          <w:lang w:eastAsia="zh-CN"/>
          <w14:textFill>
            <w14:solidFill>
              <w14:schemeClr w14:val="tx1"/>
            </w14:solidFill>
          </w14:textFill>
        </w:rPr>
        <w:t>旧机动车转让协议</w:t>
      </w:r>
      <w:r>
        <w:rPr>
          <w:rFonts w:hint="eastAsia" w:ascii="宋体" w:hAnsi="宋体" w:cs="宋体"/>
          <w:color w:val="000000" w:themeColor="text1"/>
          <w:kern w:val="0"/>
          <w:sz w:val="24"/>
          <w14:textFill>
            <w14:solidFill>
              <w14:schemeClr w14:val="tx1"/>
            </w14:solidFill>
          </w14:textFill>
        </w:rPr>
        <w:t>》，造成的损失由买受人赔偿。</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则</w:t>
      </w:r>
    </w:p>
    <w:p>
      <w:pPr>
        <w:keepNext w:val="0"/>
        <w:keepLines w:val="0"/>
        <w:pageBreakBefore w:val="0"/>
        <w:kinsoku/>
        <w:wordWrap/>
        <w:overflowPunct/>
        <w:topLinePunct w:val="0"/>
        <w:autoSpaceDE/>
        <w:autoSpaceDN/>
        <w:bidi w:val="0"/>
        <w:adjustRightInd/>
        <w:spacing w:line="52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七</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pPr>
        <w:keepNext w:val="0"/>
        <w:keepLines w:val="0"/>
        <w:pageBreakBefore w:val="0"/>
        <w:kinsoku/>
        <w:wordWrap/>
        <w:overflowPunct/>
        <w:topLinePunct w:val="0"/>
        <w:autoSpaceDE/>
        <w:autoSpaceDN/>
        <w:bidi w:val="0"/>
        <w:adjustRightInd/>
        <w:spacing w:line="52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468" w:firstLineChars="195"/>
        <w:textAlignment w:val="auto"/>
        <w:rPr>
          <w:rFonts w:ascii="宋体" w:hAnsi="宋体" w:cs="宋体"/>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宁波阳明拍卖有限公司</w:t>
      </w:r>
    </w:p>
    <w:p>
      <w:pPr>
        <w:keepNext w:val="0"/>
        <w:keepLines w:val="0"/>
        <w:pageBreakBefore w:val="0"/>
        <w:kinsoku/>
        <w:wordWrap/>
        <w:overflowPunct/>
        <w:topLinePunct w:val="0"/>
        <w:autoSpaceDE/>
        <w:autoSpaceDN/>
        <w:bidi w:val="0"/>
        <w:adjustRightInd/>
        <w:spacing w:line="52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2024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20" w:lineRule="exact"/>
        <w:jc w:val="both"/>
        <w:textAlignment w:val="auto"/>
        <w:rPr>
          <w:rFonts w:hint="eastAsia" w:ascii="宋体" w:hAnsi="宋体" w:cs="宋体"/>
          <w:color w:val="000000" w:themeColor="text1"/>
          <w:kern w:val="0"/>
          <w:sz w:val="24"/>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520" w:lineRule="exact"/>
        <w:ind w:firstLine="720" w:firstLineChars="300"/>
        <w:jc w:val="both"/>
        <w:textAlignment w:val="auto"/>
        <w:rPr>
          <w:rFonts w:hint="eastAsia" w:ascii="宋体" w:hAnsi="宋体" w:cs="宋体"/>
          <w:color w:val="000000" w:themeColor="text1"/>
          <w:kern w:val="0"/>
          <w:sz w:val="24"/>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520" w:lineRule="exact"/>
        <w:ind w:firstLine="720" w:firstLineChars="300"/>
        <w:jc w:val="both"/>
        <w:textAlignment w:val="auto"/>
        <w:rPr>
          <w:rFonts w:hint="eastAsia" w:cs="宋体"/>
          <w:b/>
          <w:bCs/>
          <w:sz w:val="44"/>
          <w:szCs w:val="44"/>
        </w:rPr>
      </w:pPr>
      <w:r>
        <w:rPr>
          <w:rFonts w:hint="eastAsia" w:ascii="宋体" w:hAnsi="宋体" w:cs="宋体"/>
          <w:color w:val="000000" w:themeColor="text1"/>
          <w:kern w:val="0"/>
          <w:sz w:val="24"/>
          <w:lang w:eastAsia="zh-CN"/>
          <w14:textFill>
            <w14:solidFill>
              <w14:schemeClr w14:val="tx1"/>
            </w14:solidFill>
          </w14:textFill>
        </w:rPr>
        <w:t>附件：</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旧机动车转让协议（样本）</w:t>
      </w:r>
      <w:r>
        <w:rPr>
          <w:rFonts w:hint="eastAsia" w:ascii="宋体" w:hAnsi="宋体" w:cs="宋体"/>
          <w:color w:val="000000" w:themeColor="text1"/>
          <w:kern w:val="0"/>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auto"/>
        <w:rPr>
          <w:rFonts w:cs="Times New Roman"/>
          <w:sz w:val="24"/>
          <w:szCs w:val="24"/>
        </w:rPr>
      </w:pPr>
      <w:r>
        <w:rPr>
          <w:rFonts w:hint="eastAsia" w:cs="宋体"/>
          <w:b/>
          <w:bCs/>
          <w:sz w:val="44"/>
          <w:szCs w:val="44"/>
        </w:rPr>
        <w:t>旧机动车转让协议</w:t>
      </w:r>
      <w:r>
        <w:rPr>
          <w:rFonts w:hint="eastAsia" w:cs="宋体"/>
          <w:b/>
          <w:bCs/>
          <w:sz w:val="44"/>
          <w:szCs w:val="44"/>
          <w:lang w:eastAsia="zh-CN"/>
        </w:rPr>
        <w:t>（样本）</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cs="Times New Roman"/>
          <w:b/>
          <w:bCs/>
          <w:sz w:val="28"/>
          <w:szCs w:val="28"/>
        </w:rPr>
      </w:pPr>
      <w:r>
        <w:rPr>
          <w:rFonts w:hint="eastAsia" w:cs="宋体"/>
          <w:b/>
          <w:bCs/>
          <w:sz w:val="28"/>
          <w:szCs w:val="28"/>
        </w:rPr>
        <w:t>甲方（卖方）</w:t>
      </w:r>
      <w:r>
        <w:rPr>
          <w:b/>
          <w:bCs/>
          <w:sz w:val="28"/>
          <w:szCs w:val="28"/>
        </w:rPr>
        <w:t>:</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b/>
          <w:bCs/>
          <w:sz w:val="28"/>
          <w:szCs w:val="28"/>
          <w:u w:val="single"/>
        </w:rPr>
      </w:pPr>
      <w:r>
        <w:rPr>
          <w:rFonts w:hint="eastAsia" w:cs="宋体"/>
          <w:b/>
          <w:bCs/>
          <w:sz w:val="28"/>
          <w:szCs w:val="28"/>
        </w:rPr>
        <w:t>乙方（买方）</w:t>
      </w:r>
      <w:r>
        <w:rPr>
          <w:b/>
          <w:bCs/>
          <w:sz w:val="28"/>
          <w:szCs w:val="28"/>
        </w:rPr>
        <w:t>:</w:t>
      </w:r>
      <w:r>
        <w:rPr>
          <w:rFonts w:hint="eastAsia"/>
          <w:b/>
          <w:bCs/>
          <w:sz w:val="28"/>
          <w:szCs w:val="28"/>
          <w:lang w:val="en-US" w:eastAsia="zh-CN"/>
        </w:rPr>
        <w:t xml:space="preserve"> </w:t>
      </w:r>
      <w:r>
        <w:rPr>
          <w:rFonts w:hint="eastAsia"/>
          <w:b/>
          <w:bCs/>
          <w:sz w:val="28"/>
          <w:szCs w:val="28"/>
          <w:u w:val="single"/>
          <w:lang w:val="en-US" w:eastAsia="zh-CN"/>
        </w:rPr>
        <w:t xml:space="preserve">      </w:t>
      </w:r>
      <w:r>
        <w:rPr>
          <w:rFonts w:hint="eastAsia" w:cs="宋体"/>
          <w:b/>
          <w:bCs/>
          <w:sz w:val="28"/>
          <w:szCs w:val="28"/>
        </w:rPr>
        <w:t>证件号码</w:t>
      </w:r>
      <w:r>
        <w:rPr>
          <w:b/>
          <w:bCs/>
          <w:sz w:val="28"/>
          <w:szCs w:val="28"/>
        </w:rPr>
        <w:t>:</w:t>
      </w:r>
      <w:r>
        <w:rPr>
          <w:rFonts w:ascii="宋体" w:hAnsi="宋体" w:cs="宋体"/>
          <w:b/>
          <w:bCs/>
          <w:sz w:val="28"/>
          <w:szCs w:val="28"/>
          <w:u w:val="single"/>
        </w:rPr>
        <w:t xml:space="preserve">                           </w:t>
      </w:r>
      <w:r>
        <w:rPr>
          <w:b/>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乙方通过公开拍卖，竞得甲方委托拍卖的</w:t>
      </w:r>
      <w:r>
        <w:rPr>
          <w:rFonts w:hint="eastAsia" w:ascii="宋体" w:hAnsi="宋体" w:cs="宋体"/>
          <w:b w:val="0"/>
          <w:bCs/>
          <w:color w:val="000000" w:themeColor="text1"/>
          <w:kern w:val="0"/>
          <w:sz w:val="24"/>
          <w14:textFill>
            <w14:solidFill>
              <w14:schemeClr w14:val="tx1"/>
            </w14:solidFill>
          </w14:textFill>
        </w:rPr>
        <w:t>浙B1085警</w:t>
      </w:r>
      <w:r>
        <w:rPr>
          <w:rFonts w:hint="eastAsia" w:ascii="宋体" w:hAnsi="宋体" w:cs="宋体"/>
          <w:kern w:val="0"/>
          <w:sz w:val="24"/>
        </w:rPr>
        <w:t>旧机动车</w:t>
      </w:r>
      <w:r>
        <w:rPr>
          <w:rFonts w:hint="eastAsia" w:cs="宋体"/>
          <w:sz w:val="24"/>
          <w:szCs w:val="24"/>
        </w:rPr>
        <w:t>。双方本着互惠互利的原则，经过友好协商，根据《中华人民共和国</w:t>
      </w:r>
      <w:r>
        <w:rPr>
          <w:rFonts w:hint="eastAsia" w:cs="宋体"/>
          <w:sz w:val="24"/>
          <w:szCs w:val="24"/>
          <w:lang w:eastAsia="zh-CN"/>
        </w:rPr>
        <w:t>民法典</w:t>
      </w:r>
      <w:r>
        <w:rPr>
          <w:rFonts w:hint="eastAsia" w:cs="宋体"/>
          <w:sz w:val="24"/>
          <w:szCs w:val="24"/>
        </w:rPr>
        <w:t>》</w:t>
      </w:r>
      <w:r>
        <w:rPr>
          <w:rFonts w:hint="eastAsia" w:cs="宋体"/>
          <w:sz w:val="24"/>
          <w:szCs w:val="24"/>
          <w:lang w:eastAsia="zh-CN"/>
        </w:rPr>
        <w:t>等相关法律法规</w:t>
      </w:r>
      <w:r>
        <w:rPr>
          <w:rFonts w:hint="eastAsia" w:cs="宋体"/>
          <w:sz w:val="24"/>
          <w:szCs w:val="24"/>
        </w:rPr>
        <w:t>规定，就旧机动车转让事宜达成以下协议，并承诺共同遵守。</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第一条</w:t>
      </w:r>
      <w:r>
        <w:rPr>
          <w:b/>
          <w:bCs/>
          <w:sz w:val="24"/>
          <w:szCs w:val="24"/>
        </w:rPr>
        <w:t xml:space="preserve"> </w:t>
      </w:r>
      <w:r>
        <w:rPr>
          <w:rFonts w:hint="eastAsia" w:cs="宋体"/>
          <w:b/>
          <w:bCs/>
          <w:sz w:val="24"/>
          <w:szCs w:val="24"/>
        </w:rPr>
        <w:t>转让标的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kern w:val="0"/>
          <w:sz w:val="24"/>
        </w:rPr>
      </w:pPr>
      <w:r>
        <w:rPr>
          <w:rFonts w:hint="eastAsia" w:ascii="宋体" w:hAnsi="宋体" w:cs="宋体"/>
          <w:b w:val="0"/>
          <w:bCs/>
          <w:kern w:val="0"/>
          <w:sz w:val="24"/>
        </w:rPr>
        <w:t>浙B1085警旧机动车</w:t>
      </w:r>
      <w:r>
        <w:rPr>
          <w:rFonts w:hint="eastAsia" w:ascii="宋体" w:hAnsi="宋体" w:cs="宋体"/>
          <w:b w:val="0"/>
          <w:bCs/>
          <w:kern w:val="0"/>
          <w:sz w:val="24"/>
          <w:lang w:eastAsia="zh-CN"/>
        </w:rPr>
        <w:t>（现车牌为：浙</w:t>
      </w:r>
      <w:r>
        <w:rPr>
          <w:rFonts w:hint="eastAsia" w:ascii="宋体" w:hAnsi="宋体" w:cs="宋体"/>
          <w:b w:val="0"/>
          <w:bCs/>
          <w:kern w:val="0"/>
          <w:sz w:val="24"/>
          <w:lang w:val="en-US" w:eastAsia="zh-CN"/>
        </w:rPr>
        <w:t>B5S702</w:t>
      </w:r>
      <w:r>
        <w:rPr>
          <w:rFonts w:hint="eastAsia" w:ascii="宋体" w:hAnsi="宋体" w:cs="宋体"/>
          <w:b w:val="0"/>
          <w:bCs/>
          <w:kern w:val="0"/>
          <w:sz w:val="24"/>
          <w:lang w:eastAsia="zh-CN"/>
        </w:rPr>
        <w:t>）</w:t>
      </w:r>
      <w:r>
        <w:rPr>
          <w:rFonts w:hint="eastAsia" w:ascii="宋体" w:hAnsi="宋体" w:eastAsia="宋体" w:cs="宋体"/>
          <w:kern w:val="0"/>
          <w:sz w:val="24"/>
        </w:rPr>
        <w:t>。</w:t>
      </w:r>
      <w:r>
        <w:rPr>
          <w:rFonts w:hint="eastAsia" w:ascii="宋体" w:hAnsi="宋体" w:eastAsia="宋体" w:cs="宋体"/>
          <w:kern w:val="0"/>
          <w:sz w:val="24"/>
          <w:lang w:eastAsia="zh-CN"/>
        </w:rPr>
        <w:t>车辆类型：中型专项作业车；</w:t>
      </w:r>
      <w:r>
        <w:rPr>
          <w:rFonts w:hint="eastAsia" w:ascii="宋体" w:hAnsi="宋体" w:eastAsia="宋体" w:cs="宋体"/>
          <w:kern w:val="0"/>
          <w:sz w:val="24"/>
        </w:rPr>
        <w:t>品牌型号：</w:t>
      </w:r>
      <w:r>
        <w:rPr>
          <w:rFonts w:hint="eastAsia" w:ascii="宋体" w:hAnsi="宋体" w:eastAsia="宋体" w:cs="宋体"/>
          <w:kern w:val="0"/>
          <w:sz w:val="24"/>
          <w:lang w:eastAsia="zh-CN"/>
        </w:rPr>
        <w:t>粤海牌</w:t>
      </w:r>
      <w:r>
        <w:rPr>
          <w:rFonts w:hint="eastAsia" w:ascii="宋体" w:hAnsi="宋体" w:eastAsia="宋体" w:cs="宋体"/>
          <w:kern w:val="0"/>
          <w:sz w:val="24"/>
          <w:lang w:val="en-US" w:eastAsia="zh-CN"/>
        </w:rPr>
        <w:t>YH5075TQZ02P</w:t>
      </w:r>
      <w:r>
        <w:rPr>
          <w:rFonts w:hint="eastAsia" w:ascii="宋体" w:hAnsi="宋体" w:eastAsia="宋体" w:cs="宋体"/>
          <w:kern w:val="0"/>
          <w:sz w:val="24"/>
        </w:rPr>
        <w:t>；</w:t>
      </w:r>
      <w:r>
        <w:rPr>
          <w:rFonts w:hint="eastAsia" w:ascii="宋体" w:hAnsi="宋体" w:eastAsia="宋体" w:cs="宋体"/>
          <w:kern w:val="0"/>
          <w:sz w:val="24"/>
          <w:lang w:eastAsia="zh-CN"/>
        </w:rPr>
        <w:t>初始登记</w:t>
      </w:r>
      <w:r>
        <w:rPr>
          <w:rFonts w:hint="eastAsia" w:ascii="宋体" w:hAnsi="宋体" w:eastAsia="宋体" w:cs="宋体"/>
          <w:kern w:val="0"/>
          <w:sz w:val="24"/>
        </w:rPr>
        <w:t>日期：20</w:t>
      </w:r>
      <w:r>
        <w:rPr>
          <w:rFonts w:hint="eastAsia" w:ascii="宋体" w:hAnsi="宋体" w:eastAsia="宋体" w:cs="宋体"/>
          <w:kern w:val="0"/>
          <w:sz w:val="24"/>
          <w:lang w:val="en-US" w:eastAsia="zh-CN"/>
        </w:rPr>
        <w:t>13</w:t>
      </w:r>
      <w:r>
        <w:rPr>
          <w:rFonts w:hint="eastAsia" w:ascii="宋体" w:hAnsi="宋体" w:eastAsia="宋体" w:cs="宋体"/>
          <w:kern w:val="0"/>
          <w:sz w:val="24"/>
        </w:rPr>
        <w:t>年</w:t>
      </w:r>
      <w:r>
        <w:rPr>
          <w:rFonts w:hint="eastAsia" w:ascii="宋体" w:hAnsi="宋体" w:eastAsia="宋体" w:cs="宋体"/>
          <w:kern w:val="0"/>
          <w:sz w:val="24"/>
          <w:lang w:val="en-US" w:eastAsia="zh-CN"/>
        </w:rPr>
        <w:t>6</w:t>
      </w:r>
      <w:r>
        <w:rPr>
          <w:rFonts w:hint="eastAsia" w:ascii="宋体" w:hAnsi="宋体" w:eastAsia="宋体" w:cs="宋体"/>
          <w:kern w:val="0"/>
          <w:sz w:val="24"/>
        </w:rPr>
        <w:t>月</w:t>
      </w:r>
      <w:r>
        <w:rPr>
          <w:rFonts w:hint="eastAsia" w:ascii="宋体" w:hAnsi="宋体" w:eastAsia="宋体" w:cs="宋体"/>
          <w:kern w:val="0"/>
          <w:sz w:val="24"/>
          <w:lang w:val="en-US" w:eastAsia="zh-CN"/>
        </w:rPr>
        <w:t>26日</w:t>
      </w:r>
      <w:r>
        <w:rPr>
          <w:rFonts w:hint="eastAsia" w:ascii="宋体" w:hAnsi="宋体" w:cs="宋体"/>
          <w:kern w:val="0"/>
          <w:sz w:val="24"/>
          <w:lang w:val="en-US" w:eastAsia="zh-CN"/>
        </w:rPr>
        <w:t>；强制报废期止：2043年6月26日；</w:t>
      </w:r>
      <w:r>
        <w:rPr>
          <w:rFonts w:hint="eastAsia" w:ascii="宋体" w:hAnsi="宋体" w:eastAsia="宋体" w:cs="宋体"/>
          <w:kern w:val="0"/>
          <w:sz w:val="24"/>
        </w:rPr>
        <w:t>行驶里程：约</w:t>
      </w:r>
      <w:r>
        <w:rPr>
          <w:rFonts w:hint="eastAsia" w:ascii="宋体" w:hAnsi="宋体" w:eastAsia="宋体" w:cs="宋体"/>
          <w:kern w:val="0"/>
          <w:sz w:val="24"/>
          <w:lang w:val="en-US" w:eastAsia="zh-CN"/>
        </w:rPr>
        <w:t>1.4</w:t>
      </w:r>
      <w:r>
        <w:rPr>
          <w:rFonts w:hint="eastAsia" w:ascii="宋体" w:hAnsi="宋体" w:eastAsia="宋体" w:cs="宋体"/>
          <w:kern w:val="0"/>
          <w:sz w:val="24"/>
        </w:rPr>
        <w:t>万公里</w:t>
      </w:r>
      <w:r>
        <w:rPr>
          <w:rFonts w:hint="eastAsia" w:ascii="宋体" w:hAnsi="宋体" w:eastAsia="宋体" w:cs="宋体"/>
          <w:b w:val="0"/>
          <w:bCs/>
          <w:color w:val="auto"/>
          <w:kern w:val="0"/>
          <w:sz w:val="24"/>
          <w:highlight w:val="none"/>
          <w:lang w:val="en-US" w:eastAsia="zh-CN"/>
        </w:rPr>
        <w:t>；</w:t>
      </w:r>
      <w:r>
        <w:rPr>
          <w:rFonts w:hint="eastAsia" w:ascii="宋体" w:hAnsi="宋体" w:cs="宋体"/>
          <w:b w:val="0"/>
          <w:bCs/>
          <w:color w:val="auto"/>
          <w:kern w:val="0"/>
          <w:sz w:val="24"/>
          <w:highlight w:val="none"/>
          <w:lang w:val="en-US" w:eastAsia="zh-CN"/>
        </w:rPr>
        <w:t>保险已过期</w:t>
      </w:r>
      <w:r>
        <w:rPr>
          <w:rFonts w:hint="eastAsia" w:ascii="宋体" w:hAnsi="宋体" w:cs="宋体"/>
          <w:kern w:val="0"/>
          <w:sz w:val="24"/>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val="0"/>
          <w:bCs/>
          <w:color w:val="auto"/>
          <w:kern w:val="0"/>
          <w:sz w:val="24"/>
          <w:highlight w:val="none"/>
          <w:lang w:val="en-US" w:eastAsia="zh-CN"/>
        </w:rPr>
      </w:pPr>
      <w:r>
        <w:rPr>
          <w:rFonts w:hint="eastAsia" w:ascii="宋体" w:hAnsi="宋体" w:cs="宋体"/>
          <w:b/>
          <w:bCs w:val="0"/>
          <w:color w:val="auto"/>
          <w:kern w:val="0"/>
          <w:sz w:val="24"/>
          <w:highlight w:val="none"/>
        </w:rPr>
        <w:t>注：</w:t>
      </w:r>
      <w:r>
        <w:rPr>
          <w:rFonts w:hint="eastAsia" w:ascii="宋体" w:hAnsi="宋体" w:cs="宋体"/>
          <w:b w:val="0"/>
          <w:bCs/>
          <w:color w:val="auto"/>
          <w:kern w:val="0"/>
          <w:sz w:val="24"/>
          <w:highlight w:val="none"/>
          <w:lang w:val="en-US" w:eastAsia="zh-CN"/>
        </w:rPr>
        <w:t>（一）</w:t>
      </w:r>
      <w:r>
        <w:rPr>
          <w:rFonts w:hint="eastAsia" w:ascii="宋体" w:hAnsi="宋体" w:eastAsia="宋体" w:cs="宋体"/>
          <w:bCs/>
          <w:kern w:val="0"/>
          <w:sz w:val="24"/>
        </w:rPr>
        <w:t>标的物</w:t>
      </w:r>
      <w:r>
        <w:rPr>
          <w:rFonts w:hint="eastAsia" w:ascii="宋体" w:hAnsi="宋体" w:eastAsia="宋体" w:cs="宋体"/>
          <w:bCs/>
          <w:color w:val="auto"/>
          <w:kern w:val="0"/>
          <w:sz w:val="24"/>
          <w:highlight w:val="none"/>
        </w:rPr>
        <w:t>无法启动</w:t>
      </w:r>
      <w:r>
        <w:rPr>
          <w:rFonts w:hint="eastAsia" w:ascii="宋体" w:hAnsi="宋体" w:eastAsia="宋体" w:cs="宋体"/>
          <w:bCs/>
          <w:color w:val="auto"/>
          <w:kern w:val="0"/>
          <w:sz w:val="24"/>
          <w:highlight w:val="none"/>
          <w:lang w:eastAsia="zh-CN"/>
        </w:rPr>
        <w:t>、保养状况一般、车况一般、维护成本高，</w:t>
      </w:r>
      <w:r>
        <w:rPr>
          <w:rFonts w:hint="eastAsia" w:ascii="宋体" w:hAnsi="宋体" w:eastAsia="宋体" w:cs="宋体"/>
          <w:bCs/>
          <w:color w:val="auto"/>
          <w:kern w:val="0"/>
          <w:sz w:val="24"/>
          <w:highlight w:val="none"/>
        </w:rPr>
        <w:t>且</w:t>
      </w:r>
      <w:r>
        <w:rPr>
          <w:rFonts w:hint="eastAsia" w:ascii="宋体" w:hAnsi="宋体" w:cs="宋体"/>
          <w:bCs/>
          <w:color w:val="auto"/>
          <w:kern w:val="0"/>
          <w:sz w:val="24"/>
          <w:highlight w:val="none"/>
          <w:lang w:eastAsia="zh-CN"/>
        </w:rPr>
        <w:t>可能</w:t>
      </w:r>
      <w:r>
        <w:rPr>
          <w:rFonts w:hint="eastAsia" w:ascii="宋体" w:hAnsi="宋体" w:eastAsia="宋体" w:cs="宋体"/>
          <w:bCs/>
          <w:color w:val="auto"/>
          <w:kern w:val="0"/>
          <w:sz w:val="24"/>
          <w:highlight w:val="none"/>
        </w:rPr>
        <w:t>存在涉水、未知故障、</w:t>
      </w:r>
      <w:r>
        <w:rPr>
          <w:rFonts w:hint="eastAsia" w:ascii="宋体" w:hAnsi="宋体" w:cs="宋体"/>
          <w:bCs/>
          <w:color w:val="auto"/>
          <w:kern w:val="0"/>
          <w:sz w:val="24"/>
          <w:highlight w:val="none"/>
          <w:lang w:eastAsia="zh-CN"/>
        </w:rPr>
        <w:t>里程表损坏、</w:t>
      </w:r>
      <w:r>
        <w:rPr>
          <w:rFonts w:hint="eastAsia" w:ascii="宋体" w:hAnsi="宋体" w:eastAsia="宋体" w:cs="宋体"/>
          <w:bCs/>
          <w:color w:val="auto"/>
          <w:kern w:val="0"/>
          <w:sz w:val="24"/>
          <w:highlight w:val="none"/>
        </w:rPr>
        <w:t>无保险、年检超期、违章未处理、配件缺少</w:t>
      </w:r>
      <w:r>
        <w:rPr>
          <w:rFonts w:hint="eastAsia" w:ascii="宋体" w:hAnsi="宋体" w:eastAsia="宋体" w:cs="宋体"/>
          <w:bCs/>
          <w:color w:val="auto"/>
          <w:kern w:val="0"/>
          <w:sz w:val="24"/>
          <w:highlight w:val="none"/>
          <w:lang w:eastAsia="zh-CN"/>
        </w:rPr>
        <w:t>、未修复的刮擦</w:t>
      </w:r>
      <w:r>
        <w:rPr>
          <w:rFonts w:hint="eastAsia" w:ascii="宋体" w:hAnsi="宋体" w:eastAsia="宋体" w:cs="宋体"/>
          <w:bCs/>
          <w:color w:val="auto"/>
          <w:kern w:val="0"/>
          <w:sz w:val="24"/>
          <w:highlight w:val="none"/>
        </w:rPr>
        <w:t>等现象</w:t>
      </w:r>
      <w:r>
        <w:rPr>
          <w:rFonts w:hint="eastAsia" w:ascii="宋体" w:hAnsi="宋体" w:cs="宋体"/>
          <w:b w:val="0"/>
          <w:bCs/>
          <w:color w:val="auto"/>
          <w:kern w:val="0"/>
          <w:sz w:val="24"/>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bCs w:val="0"/>
          <w:color w:val="auto"/>
          <w:kern w:val="0"/>
          <w:sz w:val="24"/>
          <w:highlight w:val="none"/>
        </w:rPr>
      </w:pPr>
      <w:r>
        <w:rPr>
          <w:rFonts w:hint="eastAsia" w:ascii="宋体" w:hAnsi="宋体" w:cs="宋体"/>
          <w:b w:val="0"/>
          <w:bCs/>
          <w:color w:val="auto"/>
          <w:kern w:val="0"/>
          <w:sz w:val="24"/>
          <w:highlight w:val="none"/>
          <w:lang w:val="en-US" w:eastAsia="zh-CN"/>
        </w:rPr>
        <w:t>（二）</w:t>
      </w:r>
      <w:r>
        <w:rPr>
          <w:rFonts w:hint="eastAsia" w:ascii="宋体" w:hAnsi="宋体" w:cs="宋体"/>
          <w:bCs/>
          <w:color w:val="auto"/>
          <w:kern w:val="0"/>
          <w:sz w:val="24"/>
          <w:highlight w:val="none"/>
          <w:lang w:eastAsia="zh-CN"/>
        </w:rPr>
        <w:t>原车牌号</w:t>
      </w:r>
      <w:r>
        <w:rPr>
          <w:rFonts w:hint="eastAsia" w:ascii="宋体" w:hAnsi="宋体" w:cs="宋体"/>
          <w:bCs/>
          <w:color w:val="auto"/>
          <w:kern w:val="0"/>
          <w:sz w:val="24"/>
          <w:highlight w:val="none"/>
        </w:rPr>
        <w:t>不属于本次</w:t>
      </w:r>
      <w:r>
        <w:rPr>
          <w:rFonts w:hint="eastAsia" w:ascii="宋体" w:hAnsi="宋体" w:cs="宋体"/>
          <w:bCs/>
          <w:color w:val="auto"/>
          <w:kern w:val="0"/>
          <w:sz w:val="24"/>
          <w:highlight w:val="none"/>
          <w:lang w:eastAsia="zh-CN"/>
        </w:rPr>
        <w:t>转让</w:t>
      </w:r>
      <w:r>
        <w:rPr>
          <w:rFonts w:hint="eastAsia" w:ascii="宋体" w:hAnsi="宋体" w:cs="宋体"/>
          <w:bCs/>
          <w:color w:val="auto"/>
          <w:kern w:val="0"/>
          <w:sz w:val="24"/>
          <w:highlight w:val="none"/>
        </w:rPr>
        <w:t>范围</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kern w:val="0"/>
          <w:sz w:val="24"/>
          <w:lang w:eastAsia="zh-CN"/>
        </w:rPr>
      </w:pPr>
      <w:r>
        <w:rPr>
          <w:rFonts w:hint="eastAsia" w:ascii="宋体" w:hAnsi="宋体" w:cs="宋体"/>
          <w:bCs/>
          <w:color w:val="auto"/>
          <w:kern w:val="0"/>
          <w:sz w:val="24"/>
          <w:lang w:eastAsia="zh-CN"/>
        </w:rPr>
        <w:t>（三）</w:t>
      </w:r>
      <w:r>
        <w:rPr>
          <w:rFonts w:hint="eastAsia" w:ascii="宋体" w:hAnsi="宋体" w:cs="宋体"/>
          <w:bCs/>
          <w:kern w:val="0"/>
          <w:sz w:val="24"/>
        </w:rPr>
        <w:t>标的物</w:t>
      </w:r>
      <w:r>
        <w:rPr>
          <w:rFonts w:hint="eastAsia" w:ascii="宋体" w:hAnsi="宋体" w:cs="宋体"/>
          <w:bCs/>
          <w:kern w:val="0"/>
          <w:sz w:val="24"/>
          <w:lang w:eastAsia="zh-CN"/>
        </w:rPr>
        <w:t>按</w:t>
      </w:r>
      <w:r>
        <w:rPr>
          <w:rFonts w:hint="eastAsia" w:ascii="宋体" w:hAnsi="宋体" w:cs="宋体"/>
          <w:bCs/>
          <w:kern w:val="0"/>
          <w:sz w:val="24"/>
        </w:rPr>
        <w:t>实物现状</w:t>
      </w:r>
      <w:r>
        <w:rPr>
          <w:rFonts w:hint="eastAsia" w:cs="宋体"/>
          <w:sz w:val="24"/>
          <w:szCs w:val="24"/>
        </w:rPr>
        <w:t>交付</w:t>
      </w:r>
      <w:r>
        <w:rPr>
          <w:rFonts w:hint="eastAsia" w:ascii="宋体" w:hAnsi="宋体" w:cs="宋体"/>
          <w:bCs/>
          <w:kern w:val="0"/>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000000" w:themeColor="text1"/>
          <w:kern w:val="0"/>
          <w:sz w:val="24"/>
          <w:lang w:eastAsia="zh-CN"/>
          <w14:textFill>
            <w14:solidFill>
              <w14:schemeClr w14:val="tx1"/>
            </w14:solidFill>
          </w14:textFill>
        </w:rPr>
      </w:pPr>
      <w:r>
        <w:rPr>
          <w:rFonts w:hint="eastAsia" w:ascii="宋体" w:hAnsi="宋体" w:cs="宋体"/>
          <w:bCs/>
          <w:kern w:val="0"/>
          <w:sz w:val="24"/>
          <w:lang w:eastAsia="zh-CN"/>
        </w:rPr>
        <w:t>（四）车辆存放</w:t>
      </w:r>
      <w:r>
        <w:rPr>
          <w:rFonts w:hint="eastAsia" w:ascii="宋体" w:hAnsi="宋体" w:cs="宋体"/>
          <w:color w:val="auto"/>
          <w:kern w:val="0"/>
          <w:sz w:val="24"/>
        </w:rPr>
        <w:t>地点：</w:t>
      </w:r>
      <w:r>
        <w:rPr>
          <w:rFonts w:hint="eastAsia" w:ascii="宋体" w:hAnsi="宋体" w:eastAsia="宋体" w:cs="宋体"/>
          <w:color w:val="000000"/>
          <w:kern w:val="0"/>
          <w:sz w:val="24"/>
          <w:lang w:eastAsia="zh-CN"/>
        </w:rPr>
        <w:t>余姚市交警大队交通违法处理中心对面</w:t>
      </w:r>
      <w:r>
        <w:rPr>
          <w:rFonts w:hint="eastAsia" w:ascii="宋体" w:hAnsi="宋体" w:eastAsia="宋体" w:cs="宋体"/>
          <w:color w:val="000000"/>
          <w:kern w:val="0"/>
          <w:sz w:val="24"/>
          <w:highlight w:val="none"/>
          <w:lang w:val="en-US" w:eastAsia="zh-CN"/>
        </w:rPr>
        <w:t>停车位</w:t>
      </w:r>
      <w:r>
        <w:rPr>
          <w:rFonts w:hint="eastAsia" w:ascii="宋体" w:hAnsi="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第二条</w:t>
      </w:r>
      <w:r>
        <w:rPr>
          <w:b/>
          <w:bCs/>
          <w:color w:val="000000" w:themeColor="text1"/>
          <w:sz w:val="24"/>
          <w:szCs w:val="24"/>
          <w14:textFill>
            <w14:solidFill>
              <w14:schemeClr w14:val="tx1"/>
            </w14:solidFill>
          </w14:textFill>
        </w:rPr>
        <w:t xml:space="preserve"> </w:t>
      </w:r>
      <w:r>
        <w:rPr>
          <w:rFonts w:hint="eastAsia" w:cs="宋体"/>
          <w:b/>
          <w:bCs/>
          <w:color w:val="000000" w:themeColor="text1"/>
          <w:sz w:val="24"/>
          <w:szCs w:val="24"/>
          <w14:textFill>
            <w14:solidFill>
              <w14:schemeClr w14:val="tx1"/>
            </w14:solidFill>
          </w14:textFill>
        </w:rPr>
        <w:t>转让价格及车辆交付事宜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本次转让价格（拍卖成交价）为人民币（大写</w:t>
      </w:r>
      <w:r>
        <w:rPr>
          <w:rFonts w:hint="eastAsia" w:cs="宋体"/>
          <w:color w:val="000000" w:themeColor="text1"/>
          <w:sz w:val="24"/>
          <w:szCs w:val="24"/>
          <w:u w:val="none"/>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元整，小写：</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元（不含任何税、费），乙方已于</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年</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月</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日前按约定按时足额付清成交款项。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cs="Times New Roman"/>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本协议签订后，由甲方将成交标的的证件、钥匙等相关物品交付给乙方，即视为成交车辆实物交付完成。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拍卖标的由</w:t>
      </w:r>
      <w:r>
        <w:rPr>
          <w:rFonts w:hint="eastAsia"/>
          <w:color w:val="000000" w:themeColor="text1"/>
          <w:sz w:val="24"/>
          <w:szCs w:val="24"/>
          <w:lang w:eastAsia="zh-CN"/>
          <w14:textFill>
            <w14:solidFill>
              <w14:schemeClr w14:val="tx1"/>
            </w14:solidFill>
          </w14:textFill>
        </w:rPr>
        <w:t>乙方</w:t>
      </w:r>
      <w:r>
        <w:rPr>
          <w:rFonts w:hint="eastAsia"/>
          <w:color w:val="000000" w:themeColor="text1"/>
          <w:sz w:val="24"/>
          <w:szCs w:val="24"/>
          <w14:textFill>
            <w14:solidFill>
              <w14:schemeClr w14:val="tx1"/>
            </w14:solidFill>
          </w14:textFill>
        </w:rPr>
        <w:t>自行提取，提取过程中及提取后</w:t>
      </w:r>
      <w:r>
        <w:rPr>
          <w:rFonts w:hint="eastAsia" w:ascii="宋体" w:hAnsi="宋体" w:eastAsia="宋体" w:cs="宋体"/>
          <w:color w:val="000000" w:themeColor="text1"/>
          <w:sz w:val="24"/>
          <w:szCs w:val="24"/>
          <w14:textFill>
            <w14:solidFill>
              <w14:schemeClr w14:val="tx1"/>
            </w14:solidFill>
          </w14:textFill>
        </w:rPr>
        <w:t>所发生的各类</w:t>
      </w:r>
      <w:r>
        <w:rPr>
          <w:rFonts w:hint="eastAsia" w:ascii="宋体" w:hAnsi="宋体" w:eastAsia="宋体" w:cs="宋体"/>
          <w:sz w:val="24"/>
          <w:szCs w:val="24"/>
        </w:rPr>
        <w:t>风险、安全责任及产生的费用由</w:t>
      </w:r>
      <w:r>
        <w:rPr>
          <w:rFonts w:hint="eastAsia" w:ascii="宋体" w:hAnsi="宋体" w:eastAsia="宋体" w:cs="宋体"/>
          <w:sz w:val="24"/>
          <w:szCs w:val="24"/>
          <w:lang w:eastAsia="zh-CN"/>
        </w:rPr>
        <w:t>乙方</w:t>
      </w:r>
      <w:r>
        <w:rPr>
          <w:rFonts w:hint="eastAsia" w:ascii="宋体" w:hAnsi="宋体" w:eastAsia="宋体" w:cs="宋体"/>
          <w:sz w:val="24"/>
          <w:szCs w:val="24"/>
        </w:rPr>
        <w:t>自行承担；车辆交易、过户手续须在</w:t>
      </w:r>
      <w:r>
        <w:rPr>
          <w:rFonts w:hint="eastAsia" w:ascii="宋体" w:hAnsi="宋体" w:eastAsia="宋体" w:cs="宋体"/>
          <w:sz w:val="24"/>
          <w:szCs w:val="24"/>
          <w:lang w:val="en-US" w:eastAsia="zh-CN"/>
        </w:rPr>
        <w:t xml:space="preserve">2024年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日下午4时前完成（因甲方的原因造成未</w:t>
      </w:r>
      <w:r>
        <w:rPr>
          <w:rFonts w:hint="eastAsia" w:cs="宋体"/>
          <w:sz w:val="24"/>
          <w:szCs w:val="24"/>
        </w:rPr>
        <w:t>能按时过户的除外），相关手续由乙方自行办理，甲方予以协助，相关的税费及其他费用（</w:t>
      </w:r>
      <w:r>
        <w:rPr>
          <w:rFonts w:hint="eastAsia" w:ascii="宋体" w:hAnsi="宋体" w:cs="宋体"/>
          <w:kern w:val="0"/>
          <w:sz w:val="24"/>
        </w:rPr>
        <w:t>包括但不限于补证、年检、</w:t>
      </w:r>
      <w:r>
        <w:rPr>
          <w:rFonts w:hint="eastAsia" w:ascii="宋体" w:hAnsi="宋体" w:cs="宋体"/>
          <w:kern w:val="0"/>
          <w:sz w:val="24"/>
          <w:lang w:eastAsia="zh-CN"/>
        </w:rPr>
        <w:t>车辆变色、车身标识清除、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w:t>
      </w:r>
      <w:r>
        <w:rPr>
          <w:rFonts w:hint="eastAsia" w:cs="宋体"/>
          <w:sz w:val="24"/>
          <w:szCs w:val="24"/>
        </w:rPr>
        <w:t>）均由乙方承担。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第三条</w:t>
      </w:r>
      <w:r>
        <w:rPr>
          <w:b/>
          <w:bCs/>
          <w:sz w:val="24"/>
          <w:szCs w:val="24"/>
        </w:rPr>
        <w:t xml:space="preserve">  </w:t>
      </w:r>
      <w:r>
        <w:rPr>
          <w:rFonts w:hint="eastAsia" w:cs="宋体"/>
          <w:b/>
          <w:bCs/>
          <w:sz w:val="24"/>
          <w:szCs w:val="24"/>
        </w:rPr>
        <w:t>甲方权利义务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1.</w:t>
      </w:r>
      <w:r>
        <w:rPr>
          <w:rFonts w:hint="eastAsia" w:cs="宋体"/>
          <w:sz w:val="24"/>
          <w:szCs w:val="24"/>
        </w:rPr>
        <w:t>甲方应保证对转让车辆享有所有权或处置权，且该车符合国家有关规定，能够依法办理过户，转籍手续。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2.</w:t>
      </w:r>
      <w:r>
        <w:rPr>
          <w:rFonts w:hint="eastAsia" w:cs="宋体"/>
          <w:sz w:val="24"/>
          <w:szCs w:val="24"/>
        </w:rPr>
        <w:t>甲方未按照约定交付车辆实物的，应每日支付</w:t>
      </w:r>
      <w:r>
        <w:rPr>
          <w:rFonts w:hint="eastAsia"/>
          <w:sz w:val="24"/>
          <w:szCs w:val="24"/>
          <w:lang w:val="en-US" w:eastAsia="zh-CN"/>
        </w:rPr>
        <w:t>5</w:t>
      </w:r>
      <w:r>
        <w:rPr>
          <w:sz w:val="24"/>
          <w:szCs w:val="24"/>
        </w:rPr>
        <w:t>00</w:t>
      </w:r>
      <w:r>
        <w:rPr>
          <w:rFonts w:hint="eastAsia" w:cs="宋体"/>
          <w:sz w:val="24"/>
          <w:szCs w:val="24"/>
        </w:rPr>
        <w:t>元违约金。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3.</w:t>
      </w:r>
      <w:r>
        <w:rPr>
          <w:rFonts w:hint="eastAsia" w:cs="宋体"/>
          <w:sz w:val="24"/>
          <w:szCs w:val="24"/>
        </w:rPr>
        <w:t>甲方保证向乙方提供真实有效的车辆证件，并对车辆已知的陈述完整、真实，不存在隐瞒或虚假情况。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4.</w:t>
      </w:r>
      <w:r>
        <w:rPr>
          <w:rFonts w:hint="eastAsia" w:cs="宋体"/>
          <w:sz w:val="24"/>
          <w:szCs w:val="24"/>
        </w:rPr>
        <w:t>第三人对车辆主张权力并有确实证据的，甲方应承担由此给乙方造成的一切损失。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5.</w:t>
      </w:r>
      <w:r>
        <w:rPr>
          <w:rFonts w:hint="eastAsia" w:cs="宋体"/>
          <w:sz w:val="24"/>
          <w:szCs w:val="24"/>
        </w:rPr>
        <w:t>因甲方原因致使车辆在约定期限内不能办理过户或转籍手续的，由甲方向</w:t>
      </w:r>
      <w:r>
        <w:rPr>
          <w:rFonts w:hint="eastAsia" w:cs="宋体"/>
          <w:sz w:val="24"/>
          <w:szCs w:val="24"/>
          <w:lang w:eastAsia="zh-CN"/>
        </w:rPr>
        <w:t>宁波阳明拍卖有限公司</w:t>
      </w:r>
      <w:r>
        <w:rPr>
          <w:rFonts w:hint="eastAsia" w:cs="宋体"/>
          <w:sz w:val="24"/>
          <w:szCs w:val="24"/>
        </w:rPr>
        <w:t>提出说明，不属于</w:t>
      </w:r>
      <w:r>
        <w:rPr>
          <w:rFonts w:hint="eastAsia" w:cs="宋体"/>
          <w:sz w:val="24"/>
          <w:szCs w:val="24"/>
          <w:lang w:eastAsia="zh-CN"/>
        </w:rPr>
        <w:t>甲</w:t>
      </w:r>
      <w:r>
        <w:rPr>
          <w:rFonts w:hint="eastAsia" w:cs="宋体"/>
          <w:sz w:val="24"/>
          <w:szCs w:val="24"/>
        </w:rPr>
        <w:t>方违约。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第四条</w:t>
      </w:r>
      <w:r>
        <w:rPr>
          <w:b/>
          <w:bCs/>
          <w:sz w:val="24"/>
          <w:szCs w:val="24"/>
        </w:rPr>
        <w:t xml:space="preserve"> </w:t>
      </w:r>
      <w:r>
        <w:rPr>
          <w:rFonts w:hint="eastAsia" w:cs="宋体"/>
          <w:b/>
          <w:bCs/>
          <w:sz w:val="24"/>
          <w:szCs w:val="24"/>
        </w:rPr>
        <w:t>乙方权利义务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1.</w:t>
      </w:r>
      <w:r>
        <w:rPr>
          <w:rFonts w:hint="eastAsia" w:cs="宋体"/>
          <w:sz w:val="24"/>
          <w:szCs w:val="24"/>
        </w:rPr>
        <w:t>乙方应按照约定支付成交款，并按时接收转让车辆及其权属证件。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2.</w:t>
      </w:r>
      <w:r>
        <w:rPr>
          <w:rFonts w:hint="eastAsia" w:cs="宋体"/>
          <w:sz w:val="24"/>
          <w:szCs w:val="24"/>
        </w:rPr>
        <w:t>乙方应持有效证件与甲方共同办理车辆过户、转籍手续。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3.</w:t>
      </w:r>
      <w:r>
        <w:rPr>
          <w:rFonts w:hint="eastAsia" w:cs="宋体"/>
          <w:sz w:val="24"/>
          <w:szCs w:val="24"/>
        </w:rPr>
        <w:t>车辆交付后须按时办理过户、转籍手续；乙方接收车辆后，因车辆发生的所有安全责任及纠纷问题由乙方负责承担，与甲方无涉。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4.</w:t>
      </w:r>
      <w:r>
        <w:rPr>
          <w:rFonts w:hint="eastAsia" w:cs="宋体"/>
          <w:sz w:val="24"/>
          <w:szCs w:val="24"/>
        </w:rPr>
        <w:t>过户后新的车辆转籍证明、行驶证等相关证件必须与乙方名称一致。未能按时办理过户手续的或相关证件与乙方名称不一致的，属违约，乙方的</w:t>
      </w:r>
      <w:r>
        <w:rPr>
          <w:rFonts w:hint="eastAsia" w:cs="宋体"/>
          <w:sz w:val="24"/>
          <w:szCs w:val="24"/>
          <w:lang w:eastAsia="zh-CN"/>
        </w:rPr>
        <w:t>履约</w:t>
      </w:r>
      <w:r>
        <w:rPr>
          <w:rFonts w:hint="eastAsia" w:cs="宋体"/>
          <w:sz w:val="24"/>
          <w:szCs w:val="24"/>
        </w:rPr>
        <w:t>保证金</w:t>
      </w:r>
      <w:r>
        <w:rPr>
          <w:rFonts w:hint="eastAsia" w:cs="宋体"/>
          <w:color w:val="auto"/>
          <w:sz w:val="24"/>
          <w:szCs w:val="24"/>
        </w:rPr>
        <w:t>将不予返还</w:t>
      </w:r>
      <w:r>
        <w:rPr>
          <w:rFonts w:hint="eastAsia" w:cs="宋体"/>
          <w:color w:val="auto"/>
          <w:sz w:val="24"/>
          <w:szCs w:val="24"/>
          <w:lang w:eastAsia="zh-CN"/>
        </w:rPr>
        <w:t>（</w:t>
      </w:r>
      <w:r>
        <w:rPr>
          <w:rFonts w:hint="eastAsia" w:cs="宋体"/>
          <w:color w:val="auto"/>
          <w:sz w:val="24"/>
          <w:szCs w:val="24"/>
          <w:lang w:val="en-US" w:eastAsia="zh-CN"/>
        </w:rPr>
        <w:t>甲方同意的除外</w:t>
      </w:r>
      <w:r>
        <w:rPr>
          <w:rFonts w:hint="eastAsia" w:cs="宋体"/>
          <w:color w:val="auto"/>
          <w:sz w:val="24"/>
          <w:szCs w:val="24"/>
          <w:lang w:eastAsia="zh-CN"/>
        </w:rPr>
        <w:t>）</w:t>
      </w:r>
      <w:r>
        <w:rPr>
          <w:rFonts w:hint="eastAsia"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第五条</w:t>
      </w:r>
      <w:r>
        <w:rPr>
          <w:b/>
          <w:bCs/>
          <w:sz w:val="24"/>
          <w:szCs w:val="24"/>
        </w:rPr>
        <w:t xml:space="preserve"> </w:t>
      </w:r>
      <w:r>
        <w:rPr>
          <w:rFonts w:hint="eastAsia" w:cs="宋体"/>
          <w:b/>
          <w:bCs/>
          <w:sz w:val="24"/>
          <w:szCs w:val="24"/>
        </w:rPr>
        <w:t>补充与变更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本协议可根据各方意见进行书面修改或补充，由此形成的补充协议，与协议具有相同法律效力。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第六条</w:t>
      </w:r>
      <w:r>
        <w:rPr>
          <w:b/>
          <w:bCs/>
          <w:sz w:val="24"/>
          <w:szCs w:val="24"/>
        </w:rPr>
        <w:t xml:space="preserve"> </w:t>
      </w:r>
      <w:r>
        <w:rPr>
          <w:rFonts w:hint="eastAsia" w:cs="宋体"/>
          <w:b/>
          <w:bCs/>
          <w:sz w:val="24"/>
          <w:szCs w:val="24"/>
        </w:rPr>
        <w:t>争议的解决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本协议各方当事人对本协议有关条款的解释或履行发生争议时，应通过友好协商的方式予以解决，经协商未达成书面协议，则任何一方当事人均有权向有管辖权的人民法院提起诉讼。</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第七条</w:t>
      </w:r>
      <w:r>
        <w:rPr>
          <w:b/>
          <w:bCs/>
          <w:sz w:val="24"/>
          <w:szCs w:val="24"/>
        </w:rPr>
        <w:t xml:space="preserve"> </w:t>
      </w:r>
      <w:r>
        <w:rPr>
          <w:rFonts w:hint="eastAsia" w:cs="宋体"/>
          <w:b/>
          <w:bCs/>
          <w:sz w:val="24"/>
          <w:szCs w:val="24"/>
        </w:rPr>
        <w:t>协议和条款效力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1.</w:t>
      </w:r>
      <w:r>
        <w:rPr>
          <w:rFonts w:hint="eastAsia" w:cs="宋体"/>
          <w:sz w:val="24"/>
          <w:szCs w:val="24"/>
        </w:rPr>
        <w:t>本次转让行为由宁波阳明拍卖有限公司负责代理，甲乙双方因本次转让行为与宁波阳明拍卖有限公司签署的各种协议、协议等文书，为本协议书的有效组织部分，均具有同等法律效应。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sz w:val="24"/>
          <w:szCs w:val="24"/>
        </w:rPr>
        <w:t>2.</w:t>
      </w:r>
      <w:r>
        <w:rPr>
          <w:rFonts w:hint="eastAsia" w:cs="宋体"/>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第八条</w:t>
      </w:r>
      <w:r>
        <w:rPr>
          <w:b/>
          <w:bCs/>
          <w:sz w:val="24"/>
          <w:szCs w:val="24"/>
        </w:rPr>
        <w:t xml:space="preserve"> </w:t>
      </w:r>
      <w:r>
        <w:rPr>
          <w:rFonts w:hint="eastAsia" w:cs="宋体"/>
          <w:b/>
          <w:bCs/>
          <w:sz w:val="24"/>
          <w:szCs w:val="24"/>
        </w:rPr>
        <w:t>生效条件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本协议自双方的法定代表人或其授权代理人在本协议上签字或加盖公章之日起生效。</w:t>
      </w:r>
    </w:p>
    <w:p>
      <w:pPr>
        <w:keepNext w:val="0"/>
        <w:keepLines w:val="0"/>
        <w:pageBreakBefore w:val="0"/>
        <w:widowControl w:val="0"/>
        <w:kinsoku/>
        <w:wordWrap/>
        <w:overflowPunct/>
        <w:topLinePunct w:val="0"/>
        <w:autoSpaceDE/>
        <w:autoSpaceDN/>
        <w:bidi w:val="0"/>
        <w:adjustRightInd/>
        <w:snapToGrid/>
        <w:spacing w:line="400" w:lineRule="exact"/>
        <w:ind w:left="482"/>
        <w:textAlignment w:val="auto"/>
        <w:rPr>
          <w:b/>
          <w:bCs/>
          <w:sz w:val="24"/>
          <w:szCs w:val="24"/>
        </w:rPr>
      </w:pPr>
      <w:r>
        <w:rPr>
          <w:rFonts w:hint="eastAsia" w:cs="宋体"/>
          <w:b/>
          <w:bCs/>
          <w:sz w:val="24"/>
          <w:szCs w:val="24"/>
        </w:rPr>
        <w:t>第九条</w:t>
      </w:r>
      <w:r>
        <w:rPr>
          <w:b/>
          <w:bCs/>
          <w:sz w:val="24"/>
          <w:szCs w:val="24"/>
        </w:rPr>
        <w:t xml:space="preserve"> </w:t>
      </w:r>
      <w:r>
        <w:rPr>
          <w:rFonts w:hint="eastAsia" w:cs="宋体"/>
          <w:b/>
          <w:bCs/>
          <w:sz w:val="24"/>
          <w:szCs w:val="24"/>
        </w:rPr>
        <w:t>其他</w:t>
      </w:r>
      <w:r>
        <w:rPr>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本协议一式三份，具有相同法律效力。甲方执二份，乙方执一份。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甲方：</w:t>
      </w:r>
      <w:r>
        <w:rPr>
          <w:sz w:val="24"/>
          <w:szCs w:val="24"/>
        </w:rPr>
        <w:t xml:space="preserve">                                 </w:t>
      </w:r>
      <w:r>
        <w:rPr>
          <w:rFonts w:hint="eastAsia" w:cs="宋体"/>
          <w:sz w:val="24"/>
          <w:szCs w:val="24"/>
        </w:rPr>
        <w:t>乙方：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法定代表人（或代理人）：</w:t>
      </w:r>
      <w:r>
        <w:rPr>
          <w:sz w:val="24"/>
          <w:szCs w:val="24"/>
        </w:rPr>
        <w:t xml:space="preserve">                </w:t>
      </w:r>
      <w:r>
        <w:rPr>
          <w:rFonts w:hint="eastAsia" w:cs="宋体"/>
          <w:sz w:val="24"/>
          <w:szCs w:val="24"/>
        </w:rPr>
        <w:t>法定代表人（或代理人）：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sz w:val="24"/>
          <w:szCs w:val="24"/>
        </w:rPr>
      </w:pPr>
      <w:r>
        <w:rPr>
          <w:rFonts w:hint="eastAsia" w:cs="宋体"/>
          <w:sz w:val="24"/>
          <w:szCs w:val="24"/>
        </w:rPr>
        <w:t>联系电话：</w:t>
      </w:r>
      <w:r>
        <w:rPr>
          <w:sz w:val="24"/>
          <w:szCs w:val="24"/>
        </w:rPr>
        <w:t xml:space="preserve">                             </w:t>
      </w:r>
      <w:r>
        <w:rPr>
          <w:rFonts w:hint="eastAsia" w:cs="宋体"/>
          <w:sz w:val="24"/>
          <w:szCs w:val="24"/>
        </w:rPr>
        <w:t>联系电话：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ascii="宋体" w:cs="Times New Roman"/>
          <w:sz w:val="30"/>
          <w:szCs w:val="30"/>
        </w:rPr>
      </w:pPr>
      <w:r>
        <w:rPr>
          <w:rFonts w:hint="eastAsia" w:cs="宋体"/>
          <w:sz w:val="24"/>
          <w:szCs w:val="24"/>
        </w:rPr>
        <w:t>签订时间：</w:t>
      </w:r>
      <w:r>
        <w:rPr>
          <w:sz w:val="24"/>
          <w:szCs w:val="24"/>
        </w:rPr>
        <w:t>202</w:t>
      </w:r>
      <w:r>
        <w:rPr>
          <w:rFonts w:hint="eastAsia"/>
          <w:sz w:val="24"/>
          <w:szCs w:val="24"/>
          <w:lang w:val="en-US" w:eastAsia="zh-CN"/>
        </w:rPr>
        <w:t>4</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sectPr>
      <w:headerReference r:id="rId3" w:type="default"/>
      <w:footerReference r:id="rId4" w:type="default"/>
      <w:pgSz w:w="11906" w:h="16838"/>
      <w:pgMar w:top="1162" w:right="992" w:bottom="1162" w:left="103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DliNTI5MGEzNzgwZTIzY2FkY2YzNjVmMDI2NjIifQ=="/>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3040B"/>
    <w:rsid w:val="00142F53"/>
    <w:rsid w:val="001438B4"/>
    <w:rsid w:val="00147A96"/>
    <w:rsid w:val="00160034"/>
    <w:rsid w:val="00172447"/>
    <w:rsid w:val="00172A27"/>
    <w:rsid w:val="0018442A"/>
    <w:rsid w:val="00191CF7"/>
    <w:rsid w:val="001B3D6C"/>
    <w:rsid w:val="001C4795"/>
    <w:rsid w:val="001E29A0"/>
    <w:rsid w:val="00201493"/>
    <w:rsid w:val="00201578"/>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965B3"/>
    <w:rsid w:val="003A7F4E"/>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288A"/>
    <w:rsid w:val="004C3CF2"/>
    <w:rsid w:val="004E2C1C"/>
    <w:rsid w:val="00501B2B"/>
    <w:rsid w:val="00525479"/>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505F"/>
    <w:rsid w:val="00677D02"/>
    <w:rsid w:val="006802C1"/>
    <w:rsid w:val="006A7527"/>
    <w:rsid w:val="006B1839"/>
    <w:rsid w:val="006B7D2F"/>
    <w:rsid w:val="006C61D3"/>
    <w:rsid w:val="006D0FBD"/>
    <w:rsid w:val="006D2B9F"/>
    <w:rsid w:val="006E04D4"/>
    <w:rsid w:val="006E40EE"/>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27CF"/>
    <w:rsid w:val="008B4CFB"/>
    <w:rsid w:val="008C2701"/>
    <w:rsid w:val="008D6298"/>
    <w:rsid w:val="008E2C19"/>
    <w:rsid w:val="008F2D68"/>
    <w:rsid w:val="008F4BA5"/>
    <w:rsid w:val="00922467"/>
    <w:rsid w:val="0092630D"/>
    <w:rsid w:val="009463F9"/>
    <w:rsid w:val="00951B76"/>
    <w:rsid w:val="00973D7C"/>
    <w:rsid w:val="00977DDE"/>
    <w:rsid w:val="009B5E69"/>
    <w:rsid w:val="009B7788"/>
    <w:rsid w:val="009C7EC7"/>
    <w:rsid w:val="009E4081"/>
    <w:rsid w:val="009E591E"/>
    <w:rsid w:val="009F08CD"/>
    <w:rsid w:val="00A0641E"/>
    <w:rsid w:val="00A065C2"/>
    <w:rsid w:val="00A2286E"/>
    <w:rsid w:val="00A41241"/>
    <w:rsid w:val="00A61C20"/>
    <w:rsid w:val="00A63DF7"/>
    <w:rsid w:val="00A77D1D"/>
    <w:rsid w:val="00A84265"/>
    <w:rsid w:val="00AA59AD"/>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A0CF3"/>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099C"/>
    <w:rsid w:val="00FE48F4"/>
    <w:rsid w:val="0134185B"/>
    <w:rsid w:val="01353D0F"/>
    <w:rsid w:val="0149496F"/>
    <w:rsid w:val="01656CC4"/>
    <w:rsid w:val="018B1BF8"/>
    <w:rsid w:val="01BF6629"/>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4D733B"/>
    <w:rsid w:val="05835CF9"/>
    <w:rsid w:val="05B36BB2"/>
    <w:rsid w:val="05C432C0"/>
    <w:rsid w:val="05CA0F66"/>
    <w:rsid w:val="05CF5FA2"/>
    <w:rsid w:val="069B75C0"/>
    <w:rsid w:val="06BA630B"/>
    <w:rsid w:val="06BA6D55"/>
    <w:rsid w:val="06D31875"/>
    <w:rsid w:val="06ED4932"/>
    <w:rsid w:val="07375BAD"/>
    <w:rsid w:val="073B3887"/>
    <w:rsid w:val="07693A2F"/>
    <w:rsid w:val="07872FDB"/>
    <w:rsid w:val="07DC4B18"/>
    <w:rsid w:val="07E254FB"/>
    <w:rsid w:val="07ED3E6D"/>
    <w:rsid w:val="08035B97"/>
    <w:rsid w:val="08446FA0"/>
    <w:rsid w:val="0865515F"/>
    <w:rsid w:val="086D16CA"/>
    <w:rsid w:val="08C178E9"/>
    <w:rsid w:val="08D93D0B"/>
    <w:rsid w:val="09097997"/>
    <w:rsid w:val="091A24B2"/>
    <w:rsid w:val="09485583"/>
    <w:rsid w:val="0A2F517D"/>
    <w:rsid w:val="0A4C2C72"/>
    <w:rsid w:val="0A7232C9"/>
    <w:rsid w:val="0AE57816"/>
    <w:rsid w:val="0B642C7A"/>
    <w:rsid w:val="0B691990"/>
    <w:rsid w:val="0C03337B"/>
    <w:rsid w:val="0C627017"/>
    <w:rsid w:val="0DC21F49"/>
    <w:rsid w:val="0E053607"/>
    <w:rsid w:val="0E35767A"/>
    <w:rsid w:val="0E5C78A3"/>
    <w:rsid w:val="0F004A9B"/>
    <w:rsid w:val="0F307AB2"/>
    <w:rsid w:val="0FC73288"/>
    <w:rsid w:val="0FC91878"/>
    <w:rsid w:val="0FD4268B"/>
    <w:rsid w:val="102056F8"/>
    <w:rsid w:val="10294501"/>
    <w:rsid w:val="106B1EF6"/>
    <w:rsid w:val="10861614"/>
    <w:rsid w:val="119E2974"/>
    <w:rsid w:val="11FC55B2"/>
    <w:rsid w:val="124F64F3"/>
    <w:rsid w:val="127641B7"/>
    <w:rsid w:val="1277475A"/>
    <w:rsid w:val="128F5FB8"/>
    <w:rsid w:val="129836AF"/>
    <w:rsid w:val="12A9602F"/>
    <w:rsid w:val="12BE7C7F"/>
    <w:rsid w:val="12C47381"/>
    <w:rsid w:val="13043A46"/>
    <w:rsid w:val="130A686C"/>
    <w:rsid w:val="135E2714"/>
    <w:rsid w:val="13EA7D68"/>
    <w:rsid w:val="13FF0D0B"/>
    <w:rsid w:val="14137A25"/>
    <w:rsid w:val="1417033E"/>
    <w:rsid w:val="142B35CE"/>
    <w:rsid w:val="14C56374"/>
    <w:rsid w:val="15082937"/>
    <w:rsid w:val="15273D58"/>
    <w:rsid w:val="15811B5B"/>
    <w:rsid w:val="15AE7982"/>
    <w:rsid w:val="15E07984"/>
    <w:rsid w:val="160A2881"/>
    <w:rsid w:val="163766BB"/>
    <w:rsid w:val="163D5F6B"/>
    <w:rsid w:val="166242C9"/>
    <w:rsid w:val="16CE0B7D"/>
    <w:rsid w:val="17237061"/>
    <w:rsid w:val="173F3FC6"/>
    <w:rsid w:val="175B7066"/>
    <w:rsid w:val="177E450E"/>
    <w:rsid w:val="17D45C0F"/>
    <w:rsid w:val="188D7E54"/>
    <w:rsid w:val="18BD1C8B"/>
    <w:rsid w:val="18CB2F80"/>
    <w:rsid w:val="18EE193B"/>
    <w:rsid w:val="19FD549D"/>
    <w:rsid w:val="1ABE298D"/>
    <w:rsid w:val="1ADD5174"/>
    <w:rsid w:val="1AE257AE"/>
    <w:rsid w:val="1B551E4E"/>
    <w:rsid w:val="1B6B20A5"/>
    <w:rsid w:val="1B880CB1"/>
    <w:rsid w:val="1C256156"/>
    <w:rsid w:val="1C276622"/>
    <w:rsid w:val="1C782696"/>
    <w:rsid w:val="1C8231BE"/>
    <w:rsid w:val="1C902058"/>
    <w:rsid w:val="1D1327C1"/>
    <w:rsid w:val="1D7B5F67"/>
    <w:rsid w:val="1D844366"/>
    <w:rsid w:val="1D8F06AE"/>
    <w:rsid w:val="1DC05D68"/>
    <w:rsid w:val="1DE678D0"/>
    <w:rsid w:val="1DF83E91"/>
    <w:rsid w:val="1E0400A7"/>
    <w:rsid w:val="1E6D11FC"/>
    <w:rsid w:val="1F113344"/>
    <w:rsid w:val="1F330EF8"/>
    <w:rsid w:val="1F4B7152"/>
    <w:rsid w:val="1F513CA8"/>
    <w:rsid w:val="1FB746F2"/>
    <w:rsid w:val="20445990"/>
    <w:rsid w:val="205C1778"/>
    <w:rsid w:val="20892A22"/>
    <w:rsid w:val="20A0788B"/>
    <w:rsid w:val="20D234E6"/>
    <w:rsid w:val="20DE431E"/>
    <w:rsid w:val="210009EB"/>
    <w:rsid w:val="211025E1"/>
    <w:rsid w:val="211830D2"/>
    <w:rsid w:val="21274DA2"/>
    <w:rsid w:val="215A3AB3"/>
    <w:rsid w:val="21723F5A"/>
    <w:rsid w:val="218F764D"/>
    <w:rsid w:val="2193241A"/>
    <w:rsid w:val="222C7AB8"/>
    <w:rsid w:val="223022D3"/>
    <w:rsid w:val="224B232D"/>
    <w:rsid w:val="228D71DB"/>
    <w:rsid w:val="22956D55"/>
    <w:rsid w:val="236E0751"/>
    <w:rsid w:val="240A1406"/>
    <w:rsid w:val="24110CB8"/>
    <w:rsid w:val="24231CEA"/>
    <w:rsid w:val="243510D4"/>
    <w:rsid w:val="248C288A"/>
    <w:rsid w:val="249B0A92"/>
    <w:rsid w:val="24A759DB"/>
    <w:rsid w:val="24B6761D"/>
    <w:rsid w:val="24D16AEA"/>
    <w:rsid w:val="254250A8"/>
    <w:rsid w:val="25AF2C6D"/>
    <w:rsid w:val="25B92378"/>
    <w:rsid w:val="26B172D2"/>
    <w:rsid w:val="26C40B4B"/>
    <w:rsid w:val="26FA5A34"/>
    <w:rsid w:val="27013B59"/>
    <w:rsid w:val="2757522E"/>
    <w:rsid w:val="27960DDF"/>
    <w:rsid w:val="287C188E"/>
    <w:rsid w:val="288551E7"/>
    <w:rsid w:val="289066E0"/>
    <w:rsid w:val="29847A81"/>
    <w:rsid w:val="2A36061B"/>
    <w:rsid w:val="2A556978"/>
    <w:rsid w:val="2A5C55CF"/>
    <w:rsid w:val="2AB7228A"/>
    <w:rsid w:val="2AF7447D"/>
    <w:rsid w:val="2B1E4C8C"/>
    <w:rsid w:val="2B2A2FD9"/>
    <w:rsid w:val="2B805BCD"/>
    <w:rsid w:val="2BBC3B7F"/>
    <w:rsid w:val="2BBF048E"/>
    <w:rsid w:val="2BE5411B"/>
    <w:rsid w:val="2C0520D1"/>
    <w:rsid w:val="2C3C2E78"/>
    <w:rsid w:val="2C76366E"/>
    <w:rsid w:val="2C90798A"/>
    <w:rsid w:val="2CA13EC5"/>
    <w:rsid w:val="2CAA7F15"/>
    <w:rsid w:val="2CB65C7D"/>
    <w:rsid w:val="2D1E1CE5"/>
    <w:rsid w:val="2D312440"/>
    <w:rsid w:val="2D4D7E8B"/>
    <w:rsid w:val="2D662373"/>
    <w:rsid w:val="2D721A06"/>
    <w:rsid w:val="2D76092E"/>
    <w:rsid w:val="2D786770"/>
    <w:rsid w:val="2D9301F8"/>
    <w:rsid w:val="2DC071BC"/>
    <w:rsid w:val="2DCA40C4"/>
    <w:rsid w:val="2E38568C"/>
    <w:rsid w:val="2E4722CA"/>
    <w:rsid w:val="2EA67134"/>
    <w:rsid w:val="2EE9735C"/>
    <w:rsid w:val="2F081A5A"/>
    <w:rsid w:val="2F3D6487"/>
    <w:rsid w:val="2F690A46"/>
    <w:rsid w:val="2F7012D5"/>
    <w:rsid w:val="2FA141FE"/>
    <w:rsid w:val="2FD23E16"/>
    <w:rsid w:val="30E57FFF"/>
    <w:rsid w:val="31183C37"/>
    <w:rsid w:val="31210D3C"/>
    <w:rsid w:val="315166AB"/>
    <w:rsid w:val="31FB58A6"/>
    <w:rsid w:val="320B6E9B"/>
    <w:rsid w:val="323668DE"/>
    <w:rsid w:val="323D2EA7"/>
    <w:rsid w:val="32A939A4"/>
    <w:rsid w:val="32CB5278"/>
    <w:rsid w:val="32F95E0C"/>
    <w:rsid w:val="33762B44"/>
    <w:rsid w:val="33F46BC6"/>
    <w:rsid w:val="33FA5003"/>
    <w:rsid w:val="34033A51"/>
    <w:rsid w:val="34787C07"/>
    <w:rsid w:val="34D874BA"/>
    <w:rsid w:val="34EA3885"/>
    <w:rsid w:val="34F01CDA"/>
    <w:rsid w:val="34F860CC"/>
    <w:rsid w:val="3507519C"/>
    <w:rsid w:val="35301D0A"/>
    <w:rsid w:val="35661336"/>
    <w:rsid w:val="358A78ED"/>
    <w:rsid w:val="35981B85"/>
    <w:rsid w:val="35BC0135"/>
    <w:rsid w:val="35FC6014"/>
    <w:rsid w:val="35FF4782"/>
    <w:rsid w:val="36392E40"/>
    <w:rsid w:val="3647730B"/>
    <w:rsid w:val="3650258D"/>
    <w:rsid w:val="36DE12F2"/>
    <w:rsid w:val="374064CF"/>
    <w:rsid w:val="37766767"/>
    <w:rsid w:val="37986F5E"/>
    <w:rsid w:val="37A238FB"/>
    <w:rsid w:val="38637461"/>
    <w:rsid w:val="387D5F95"/>
    <w:rsid w:val="38990AA1"/>
    <w:rsid w:val="38AF2F46"/>
    <w:rsid w:val="38FD02F4"/>
    <w:rsid w:val="390C65EA"/>
    <w:rsid w:val="39544A8A"/>
    <w:rsid w:val="396B6DD4"/>
    <w:rsid w:val="39B91003"/>
    <w:rsid w:val="39C95FD0"/>
    <w:rsid w:val="39EE7A9E"/>
    <w:rsid w:val="3A080637"/>
    <w:rsid w:val="3A257964"/>
    <w:rsid w:val="3A30455A"/>
    <w:rsid w:val="3AA05B89"/>
    <w:rsid w:val="3AFD63B4"/>
    <w:rsid w:val="3B121B64"/>
    <w:rsid w:val="3B145739"/>
    <w:rsid w:val="3B4515CD"/>
    <w:rsid w:val="3B8A1A7E"/>
    <w:rsid w:val="3BB42506"/>
    <w:rsid w:val="3BD57167"/>
    <w:rsid w:val="3C025A83"/>
    <w:rsid w:val="3C795D45"/>
    <w:rsid w:val="3C8E474E"/>
    <w:rsid w:val="3C992DC6"/>
    <w:rsid w:val="3C9E186E"/>
    <w:rsid w:val="3CA72724"/>
    <w:rsid w:val="3CB1207B"/>
    <w:rsid w:val="3CEA09F1"/>
    <w:rsid w:val="3D20796B"/>
    <w:rsid w:val="3D604E89"/>
    <w:rsid w:val="3DD55545"/>
    <w:rsid w:val="3E482613"/>
    <w:rsid w:val="3EDF3058"/>
    <w:rsid w:val="3F19622C"/>
    <w:rsid w:val="3F253F62"/>
    <w:rsid w:val="3F4624B6"/>
    <w:rsid w:val="3F5B1E05"/>
    <w:rsid w:val="3F9B2DCE"/>
    <w:rsid w:val="3FB307B7"/>
    <w:rsid w:val="4061451C"/>
    <w:rsid w:val="407707ED"/>
    <w:rsid w:val="40AA0920"/>
    <w:rsid w:val="40D014C0"/>
    <w:rsid w:val="40F95D14"/>
    <w:rsid w:val="414C2001"/>
    <w:rsid w:val="41607C54"/>
    <w:rsid w:val="418D12C6"/>
    <w:rsid w:val="41CB00EC"/>
    <w:rsid w:val="42406517"/>
    <w:rsid w:val="424E557E"/>
    <w:rsid w:val="425D23F3"/>
    <w:rsid w:val="426D046C"/>
    <w:rsid w:val="428A306B"/>
    <w:rsid w:val="428C31DD"/>
    <w:rsid w:val="42A55E25"/>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72394C"/>
    <w:rsid w:val="46D53DA4"/>
    <w:rsid w:val="46EE7A0F"/>
    <w:rsid w:val="47397E0A"/>
    <w:rsid w:val="473E1D1D"/>
    <w:rsid w:val="47473E0B"/>
    <w:rsid w:val="478C1170"/>
    <w:rsid w:val="4795415F"/>
    <w:rsid w:val="47FA4464"/>
    <w:rsid w:val="480D0878"/>
    <w:rsid w:val="483B1360"/>
    <w:rsid w:val="48774F00"/>
    <w:rsid w:val="487B4BF3"/>
    <w:rsid w:val="48835907"/>
    <w:rsid w:val="48C33317"/>
    <w:rsid w:val="48E41870"/>
    <w:rsid w:val="492A23F4"/>
    <w:rsid w:val="49773C28"/>
    <w:rsid w:val="49A712F4"/>
    <w:rsid w:val="49B80B02"/>
    <w:rsid w:val="49DC4035"/>
    <w:rsid w:val="49DE7CC5"/>
    <w:rsid w:val="4A042255"/>
    <w:rsid w:val="4A5B7D47"/>
    <w:rsid w:val="4A6F0AD8"/>
    <w:rsid w:val="4AF11F2F"/>
    <w:rsid w:val="4B7E556C"/>
    <w:rsid w:val="4B7F5906"/>
    <w:rsid w:val="4BB00250"/>
    <w:rsid w:val="4C0213F4"/>
    <w:rsid w:val="4C4446AE"/>
    <w:rsid w:val="4C480112"/>
    <w:rsid w:val="4C6F4853"/>
    <w:rsid w:val="4C7308C9"/>
    <w:rsid w:val="4D025E83"/>
    <w:rsid w:val="4D2B4F8F"/>
    <w:rsid w:val="4D377E11"/>
    <w:rsid w:val="4D43295F"/>
    <w:rsid w:val="4DF53F69"/>
    <w:rsid w:val="4E34602C"/>
    <w:rsid w:val="4E460AE6"/>
    <w:rsid w:val="4E505F0D"/>
    <w:rsid w:val="4E617863"/>
    <w:rsid w:val="4E6A4E77"/>
    <w:rsid w:val="4EA175B8"/>
    <w:rsid w:val="4EA417C5"/>
    <w:rsid w:val="4EC00138"/>
    <w:rsid w:val="4ED232B7"/>
    <w:rsid w:val="4EDD31D7"/>
    <w:rsid w:val="4F041DA9"/>
    <w:rsid w:val="4F4915A7"/>
    <w:rsid w:val="4F6B75B6"/>
    <w:rsid w:val="4F827F2A"/>
    <w:rsid w:val="4FCA1762"/>
    <w:rsid w:val="4FDF015D"/>
    <w:rsid w:val="50871E3A"/>
    <w:rsid w:val="50AD614E"/>
    <w:rsid w:val="51792864"/>
    <w:rsid w:val="520477FB"/>
    <w:rsid w:val="52082E5D"/>
    <w:rsid w:val="52D77EAA"/>
    <w:rsid w:val="52DB1578"/>
    <w:rsid w:val="52E542AB"/>
    <w:rsid w:val="5338194F"/>
    <w:rsid w:val="53413B53"/>
    <w:rsid w:val="53807425"/>
    <w:rsid w:val="53911E27"/>
    <w:rsid w:val="54394D97"/>
    <w:rsid w:val="5484681C"/>
    <w:rsid w:val="549F0513"/>
    <w:rsid w:val="54A9691F"/>
    <w:rsid w:val="54D44008"/>
    <w:rsid w:val="54D728E6"/>
    <w:rsid w:val="550324C2"/>
    <w:rsid w:val="55125AD0"/>
    <w:rsid w:val="551C0163"/>
    <w:rsid w:val="55597600"/>
    <w:rsid w:val="55F03BF8"/>
    <w:rsid w:val="560976C3"/>
    <w:rsid w:val="569A7D90"/>
    <w:rsid w:val="574259FA"/>
    <w:rsid w:val="5746402F"/>
    <w:rsid w:val="574A06FC"/>
    <w:rsid w:val="575255F7"/>
    <w:rsid w:val="57AD7E90"/>
    <w:rsid w:val="57E1549B"/>
    <w:rsid w:val="57F4051A"/>
    <w:rsid w:val="583F530D"/>
    <w:rsid w:val="587210B0"/>
    <w:rsid w:val="58AD2046"/>
    <w:rsid w:val="58D26BBB"/>
    <w:rsid w:val="58DE293D"/>
    <w:rsid w:val="593A4D40"/>
    <w:rsid w:val="593E5EF4"/>
    <w:rsid w:val="595C18F0"/>
    <w:rsid w:val="59891EF8"/>
    <w:rsid w:val="59BC7EEF"/>
    <w:rsid w:val="5A011185"/>
    <w:rsid w:val="5A0A27AE"/>
    <w:rsid w:val="5A513A05"/>
    <w:rsid w:val="5A8C4263"/>
    <w:rsid w:val="5AE20B01"/>
    <w:rsid w:val="5B22253E"/>
    <w:rsid w:val="5B2901E9"/>
    <w:rsid w:val="5B8D2D21"/>
    <w:rsid w:val="5B8D3EEF"/>
    <w:rsid w:val="5C802F74"/>
    <w:rsid w:val="5C86325F"/>
    <w:rsid w:val="5C946353"/>
    <w:rsid w:val="5CB07599"/>
    <w:rsid w:val="5CDD049B"/>
    <w:rsid w:val="5CDF2289"/>
    <w:rsid w:val="5D3C274B"/>
    <w:rsid w:val="5D97217A"/>
    <w:rsid w:val="5DC82230"/>
    <w:rsid w:val="5DD14BE9"/>
    <w:rsid w:val="5E2B5748"/>
    <w:rsid w:val="5EA93D0F"/>
    <w:rsid w:val="5EC20387"/>
    <w:rsid w:val="5ED15E66"/>
    <w:rsid w:val="5F1A6ABC"/>
    <w:rsid w:val="5F252FFA"/>
    <w:rsid w:val="5F3833E6"/>
    <w:rsid w:val="5F832C78"/>
    <w:rsid w:val="5F851ACB"/>
    <w:rsid w:val="5FD27396"/>
    <w:rsid w:val="5FD55B32"/>
    <w:rsid w:val="60822AF9"/>
    <w:rsid w:val="609A4BD3"/>
    <w:rsid w:val="60F634AE"/>
    <w:rsid w:val="611933AE"/>
    <w:rsid w:val="61471ACE"/>
    <w:rsid w:val="61C31A11"/>
    <w:rsid w:val="61D0084D"/>
    <w:rsid w:val="62005EEF"/>
    <w:rsid w:val="62057682"/>
    <w:rsid w:val="623C1EB4"/>
    <w:rsid w:val="6250716D"/>
    <w:rsid w:val="627209BD"/>
    <w:rsid w:val="62B77C63"/>
    <w:rsid w:val="62FE3BE6"/>
    <w:rsid w:val="63050ED2"/>
    <w:rsid w:val="63FB28D4"/>
    <w:rsid w:val="64416CA0"/>
    <w:rsid w:val="64561B9C"/>
    <w:rsid w:val="648806BE"/>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8F3B72"/>
    <w:rsid w:val="67961FC2"/>
    <w:rsid w:val="67C44D21"/>
    <w:rsid w:val="67D11A4E"/>
    <w:rsid w:val="684D52C4"/>
    <w:rsid w:val="68590ED9"/>
    <w:rsid w:val="688D6550"/>
    <w:rsid w:val="69344C1E"/>
    <w:rsid w:val="69931944"/>
    <w:rsid w:val="69BB1DA2"/>
    <w:rsid w:val="6A1828AA"/>
    <w:rsid w:val="6A296884"/>
    <w:rsid w:val="6A445335"/>
    <w:rsid w:val="6A846C3C"/>
    <w:rsid w:val="6A86532E"/>
    <w:rsid w:val="6A9040D6"/>
    <w:rsid w:val="6B167EAA"/>
    <w:rsid w:val="6B6141DE"/>
    <w:rsid w:val="6B787743"/>
    <w:rsid w:val="6C225202"/>
    <w:rsid w:val="6C2E7676"/>
    <w:rsid w:val="6C760AB3"/>
    <w:rsid w:val="6C762552"/>
    <w:rsid w:val="6C7C646E"/>
    <w:rsid w:val="6CB92BD1"/>
    <w:rsid w:val="6CD161EC"/>
    <w:rsid w:val="6CDF35C4"/>
    <w:rsid w:val="6DFC3ED2"/>
    <w:rsid w:val="6E316EA6"/>
    <w:rsid w:val="6E8C763E"/>
    <w:rsid w:val="6EE36ECA"/>
    <w:rsid w:val="6F26070E"/>
    <w:rsid w:val="6F2817E2"/>
    <w:rsid w:val="6F310485"/>
    <w:rsid w:val="6F4D795C"/>
    <w:rsid w:val="6FF40D1C"/>
    <w:rsid w:val="6FFB46E7"/>
    <w:rsid w:val="70447E3C"/>
    <w:rsid w:val="7060454A"/>
    <w:rsid w:val="70AA53C8"/>
    <w:rsid w:val="70B110BD"/>
    <w:rsid w:val="70CB47E1"/>
    <w:rsid w:val="70EC47EA"/>
    <w:rsid w:val="710A284E"/>
    <w:rsid w:val="713D058A"/>
    <w:rsid w:val="717711B4"/>
    <w:rsid w:val="717A3DA5"/>
    <w:rsid w:val="718911F8"/>
    <w:rsid w:val="71A05546"/>
    <w:rsid w:val="71D00A9E"/>
    <w:rsid w:val="721B0557"/>
    <w:rsid w:val="7237504A"/>
    <w:rsid w:val="724E4FA2"/>
    <w:rsid w:val="7275065F"/>
    <w:rsid w:val="72A20E4A"/>
    <w:rsid w:val="73880E53"/>
    <w:rsid w:val="73970746"/>
    <w:rsid w:val="73B136CB"/>
    <w:rsid w:val="73B55051"/>
    <w:rsid w:val="74267E75"/>
    <w:rsid w:val="744011B9"/>
    <w:rsid w:val="744C5512"/>
    <w:rsid w:val="74580127"/>
    <w:rsid w:val="74585929"/>
    <w:rsid w:val="74AB65E8"/>
    <w:rsid w:val="74CF12E9"/>
    <w:rsid w:val="74F03CA1"/>
    <w:rsid w:val="74F846EB"/>
    <w:rsid w:val="766E45C4"/>
    <w:rsid w:val="769B255A"/>
    <w:rsid w:val="76AA556A"/>
    <w:rsid w:val="76E41A31"/>
    <w:rsid w:val="76F51E90"/>
    <w:rsid w:val="7739385F"/>
    <w:rsid w:val="777D3E7E"/>
    <w:rsid w:val="77996839"/>
    <w:rsid w:val="781174F2"/>
    <w:rsid w:val="78361072"/>
    <w:rsid w:val="78422E7D"/>
    <w:rsid w:val="784D5990"/>
    <w:rsid w:val="785228DA"/>
    <w:rsid w:val="786575AD"/>
    <w:rsid w:val="787F0879"/>
    <w:rsid w:val="78A02FA0"/>
    <w:rsid w:val="78E9384A"/>
    <w:rsid w:val="794D5A65"/>
    <w:rsid w:val="798A761F"/>
    <w:rsid w:val="79922C1B"/>
    <w:rsid w:val="79951709"/>
    <w:rsid w:val="79966DD3"/>
    <w:rsid w:val="79A84582"/>
    <w:rsid w:val="79B25E17"/>
    <w:rsid w:val="79C23BFC"/>
    <w:rsid w:val="79DF0BD6"/>
    <w:rsid w:val="79F301DD"/>
    <w:rsid w:val="79F77CCE"/>
    <w:rsid w:val="7A843160"/>
    <w:rsid w:val="7A8772A3"/>
    <w:rsid w:val="7A8F4FCE"/>
    <w:rsid w:val="7A904AD5"/>
    <w:rsid w:val="7ABE6A3D"/>
    <w:rsid w:val="7AC72841"/>
    <w:rsid w:val="7B186513"/>
    <w:rsid w:val="7B4435A2"/>
    <w:rsid w:val="7B651423"/>
    <w:rsid w:val="7B814910"/>
    <w:rsid w:val="7B87581E"/>
    <w:rsid w:val="7BB20F60"/>
    <w:rsid w:val="7BF20F67"/>
    <w:rsid w:val="7C120713"/>
    <w:rsid w:val="7C263DF1"/>
    <w:rsid w:val="7C372909"/>
    <w:rsid w:val="7C436E29"/>
    <w:rsid w:val="7C4F7E97"/>
    <w:rsid w:val="7C5517EE"/>
    <w:rsid w:val="7C6D6022"/>
    <w:rsid w:val="7CFD5A78"/>
    <w:rsid w:val="7D103724"/>
    <w:rsid w:val="7D511F32"/>
    <w:rsid w:val="7D573AFD"/>
    <w:rsid w:val="7D6B1F87"/>
    <w:rsid w:val="7DA83579"/>
    <w:rsid w:val="7DE73065"/>
    <w:rsid w:val="7DF43ABC"/>
    <w:rsid w:val="7E222C36"/>
    <w:rsid w:val="7E7310D0"/>
    <w:rsid w:val="7E9A5D97"/>
    <w:rsid w:val="7EE959EB"/>
    <w:rsid w:val="7F9B1945"/>
    <w:rsid w:val="7FD8327F"/>
    <w:rsid w:val="7FDC6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left="540" w:firstLine="660" w:firstLineChars="275"/>
    </w:pPr>
    <w:rPr>
      <w:rFonts w:ascii="幼圆" w:eastAsia="幼圆"/>
      <w:sz w:val="24"/>
    </w:r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autoRedefine/>
    <w:qFormat/>
    <w:uiPriority w:val="0"/>
    <w:rPr>
      <w:b/>
      <w:bCs/>
    </w:rPr>
  </w:style>
  <w:style w:type="character" w:styleId="12">
    <w:name w:val="page number"/>
    <w:autoRedefine/>
    <w:qFormat/>
    <w:uiPriority w:val="0"/>
  </w:style>
  <w:style w:type="character" w:styleId="13">
    <w:name w:val="FollowedHyperlink"/>
    <w:autoRedefine/>
    <w:qFormat/>
    <w:uiPriority w:val="99"/>
    <w:rPr>
      <w:color w:val="666666"/>
      <w:u w:val="none"/>
    </w:rPr>
  </w:style>
  <w:style w:type="character" w:styleId="14">
    <w:name w:val="Hyperlink"/>
    <w:autoRedefine/>
    <w:qFormat/>
    <w:uiPriority w:val="99"/>
    <w:rPr>
      <w:color w:val="666666"/>
      <w:u w:val="none"/>
    </w:rPr>
  </w:style>
  <w:style w:type="character" w:customStyle="1" w:styleId="15">
    <w:name w:val="页脚 Char"/>
    <w:link w:val="5"/>
    <w:autoRedefine/>
    <w:qFormat/>
    <w:uiPriority w:val="0"/>
    <w:rPr>
      <w:kern w:val="2"/>
      <w:sz w:val="18"/>
      <w:szCs w:val="18"/>
    </w:rPr>
  </w:style>
  <w:style w:type="character" w:customStyle="1" w:styleId="16">
    <w:name w:val="页眉 Char"/>
    <w:link w:val="6"/>
    <w:autoRedefine/>
    <w:qFormat/>
    <w:uiPriority w:val="0"/>
    <w:rPr>
      <w:kern w:val="2"/>
      <w:sz w:val="18"/>
      <w:szCs w:val="18"/>
    </w:rPr>
  </w:style>
  <w:style w:type="paragraph" w:customStyle="1" w:styleId="17">
    <w:name w:val="_Style 15"/>
    <w:basedOn w:val="1"/>
    <w:autoRedefine/>
    <w:qFormat/>
    <w:uiPriority w:val="0"/>
    <w:pPr>
      <w:widowControl/>
      <w:spacing w:after="160" w:line="240" w:lineRule="exact"/>
      <w:ind w:firstLine="420" w:firstLineChars="200"/>
      <w:jc w:val="left"/>
    </w:pPr>
  </w:style>
  <w:style w:type="character" w:customStyle="1" w:styleId="18">
    <w:name w:val="l-open"/>
    <w:autoRedefine/>
    <w:qFormat/>
    <w:uiPriority w:val="0"/>
  </w:style>
  <w:style w:type="character" w:customStyle="1" w:styleId="19">
    <w:name w:val="folder"/>
    <w:autoRedefine/>
    <w:qFormat/>
    <w:uiPriority w:val="0"/>
  </w:style>
  <w:style w:type="character" w:customStyle="1" w:styleId="20">
    <w:name w:val="file"/>
    <w:autoRedefine/>
    <w:qFormat/>
    <w:uiPriority w:val="0"/>
  </w:style>
  <w:style w:type="paragraph" w:customStyle="1" w:styleId="21">
    <w:name w:val="_Style 1"/>
    <w:basedOn w:val="1"/>
    <w:autoRedefine/>
    <w:qFormat/>
    <w:uiPriority w:val="0"/>
    <w:pPr>
      <w:widowControl/>
      <w:spacing w:after="160" w:line="240" w:lineRule="exact"/>
      <w:ind w:firstLine="420" w:firstLineChars="200"/>
      <w:jc w:val="left"/>
    </w:pPr>
    <w:rPr>
      <w:szCs w:val="20"/>
    </w:rPr>
  </w:style>
  <w:style w:type="paragraph" w:customStyle="1" w:styleId="22">
    <w:name w:val="Char"/>
    <w:basedOn w:val="1"/>
    <w:autoRedefine/>
    <w:qFormat/>
    <w:uiPriority w:val="0"/>
    <w:pPr>
      <w:widowControl/>
      <w:spacing w:after="160" w:line="240" w:lineRule="exact"/>
      <w:ind w:firstLine="420" w:firstLineChars="200"/>
      <w:jc w:val="left"/>
    </w:pPr>
  </w:style>
  <w:style w:type="paragraph" w:customStyle="1" w:styleId="23">
    <w:name w:val="_Style 5"/>
    <w:basedOn w:val="1"/>
    <w:autoRedefine/>
    <w:qFormat/>
    <w:uiPriority w:val="0"/>
    <w:pPr>
      <w:widowControl/>
      <w:spacing w:after="160" w:line="240" w:lineRule="exact"/>
      <w:ind w:firstLine="420" w:firstLineChars="200"/>
      <w:jc w:val="left"/>
    </w:pPr>
    <w:rPr>
      <w:szCs w:val="20"/>
    </w:rPr>
  </w:style>
  <w:style w:type="paragraph" w:customStyle="1" w:styleId="24">
    <w:name w:val="Char Char"/>
    <w:basedOn w:val="1"/>
    <w:autoRedefine/>
    <w:qFormat/>
    <w:uiPriority w:val="0"/>
    <w:pPr>
      <w:widowControl/>
      <w:spacing w:after="160" w:line="240" w:lineRule="exact"/>
      <w:ind w:firstLine="420" w:firstLineChars="200"/>
      <w:jc w:val="left"/>
    </w:pPr>
  </w:style>
  <w:style w:type="paragraph" w:customStyle="1" w:styleId="25">
    <w:name w:val="Char Char1"/>
    <w:basedOn w:val="1"/>
    <w:autoRedefine/>
    <w:qFormat/>
    <w:uiPriority w:val="0"/>
    <w:pPr>
      <w:widowControl/>
      <w:spacing w:after="160" w:line="240" w:lineRule="exact"/>
      <w:ind w:firstLine="420" w:firstLineChars="200"/>
      <w:jc w:val="left"/>
    </w:p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Char Char2"/>
    <w:basedOn w:val="1"/>
    <w:autoRedefine/>
    <w:qFormat/>
    <w:uiPriority w:val="0"/>
    <w:pPr>
      <w:widowControl/>
      <w:spacing w:after="160" w:line="240" w:lineRule="exact"/>
      <w:ind w:firstLine="420" w:firstLineChars="200"/>
      <w:jc w:val="left"/>
    </w:pPr>
  </w:style>
  <w:style w:type="paragraph" w:customStyle="1" w:styleId="28">
    <w:name w:val=" Char Char"/>
    <w:basedOn w:val="1"/>
    <w:autoRedefine/>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6196</Words>
  <Characters>6455</Characters>
  <Lines>46</Lines>
  <Paragraphs>12</Paragraphs>
  <TotalTime>3</TotalTime>
  <ScaleCrop>false</ScaleCrop>
  <LinksUpToDate>false</LinksUpToDate>
  <CharactersWithSpaces>6586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2023-09-07T11:43:00Z</cp:lastPrinted>
  <dcterms:modified xsi:type="dcterms:W3CDTF">2024-03-06T02:46:48Z</dcterms:modified>
  <dc:title>余姚市产权交易公告信息发布单</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42DA5EAD3D154D71B582F8FBAF1731D4</vt:lpwstr>
  </property>
</Properties>
</file>